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D" w:rsidRDefault="000E4CBD" w:rsidP="000E4CBD">
      <w:pPr>
        <w:pStyle w:val="a3"/>
        <w:jc w:val="center"/>
      </w:pPr>
      <w:r>
        <w:rPr>
          <w:rStyle w:val="a4"/>
        </w:rPr>
        <w:t>ПРОЕКТНАЯ ДЕКЛАРАЦИЯ</w:t>
      </w:r>
    </w:p>
    <w:p w:rsidR="000E4CBD" w:rsidRDefault="000E4CBD" w:rsidP="000E4CBD">
      <w:pPr>
        <w:pStyle w:val="a3"/>
        <w:jc w:val="center"/>
      </w:pPr>
      <w:r>
        <w:t>многоэтажного жилого дома</w:t>
      </w:r>
    </w:p>
    <w:p w:rsidR="000E4CBD" w:rsidRDefault="000E4CBD" w:rsidP="000E4CBD">
      <w:pPr>
        <w:pStyle w:val="a3"/>
        <w:jc w:val="center"/>
      </w:pPr>
      <w:r>
        <w:t>по адресу: Ленинградская область, Ломоносовский район, МО Горбунки, д</w:t>
      </w:r>
      <w:proofErr w:type="gramStart"/>
      <w:r>
        <w:t>.Г</w:t>
      </w:r>
      <w:proofErr w:type="gramEnd"/>
      <w:r>
        <w:t>орбунки, участок 47:14:0403007:6</w:t>
      </w:r>
    </w:p>
    <w:p w:rsidR="000E4CBD" w:rsidRDefault="000E4CBD" w:rsidP="000E4CBD">
      <w:pPr>
        <w:pStyle w:val="a3"/>
        <w:jc w:val="center"/>
      </w:pPr>
      <w:r>
        <w:t>(в редакции от 31.05.2013 г.)</w:t>
      </w:r>
    </w:p>
    <w:p w:rsidR="000E4CBD" w:rsidRDefault="000E4CBD" w:rsidP="000E4CBD">
      <w:pPr>
        <w:pStyle w:val="a3"/>
        <w:jc w:val="center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1. Информация о застройщике.</w:t>
      </w:r>
    </w:p>
    <w:p w:rsidR="000E4CBD" w:rsidRDefault="000E4CBD" w:rsidP="000E4CBD">
      <w:pPr>
        <w:pStyle w:val="a3"/>
      </w:pPr>
      <w:r>
        <w:rPr>
          <w:rStyle w:val="a4"/>
        </w:rPr>
        <w:t> </w:t>
      </w:r>
    </w:p>
    <w:p w:rsidR="000E4CBD" w:rsidRDefault="000E4CBD" w:rsidP="000E4CBD">
      <w:pPr>
        <w:pStyle w:val="a3"/>
      </w:pPr>
      <w:r>
        <w:t xml:space="preserve">1.1    Наименование Застройщика: ИП Немков Олег </w:t>
      </w:r>
      <w:proofErr w:type="spellStart"/>
      <w:r>
        <w:t>Рудиевич</w:t>
      </w:r>
      <w:proofErr w:type="spellEnd"/>
      <w:r>
        <w:t>. Закрытое акционерное общество «АСЭРП».</w:t>
      </w:r>
    </w:p>
    <w:p w:rsidR="000E4CBD" w:rsidRDefault="000E4CBD" w:rsidP="000E4CBD">
      <w:pPr>
        <w:pStyle w:val="a3"/>
      </w:pPr>
      <w:r>
        <w:t>1.2.   Местонахождение:</w:t>
      </w:r>
    </w:p>
    <w:p w:rsidR="000E4CBD" w:rsidRDefault="000E4CBD" w:rsidP="000E4CBD">
      <w:pPr>
        <w:pStyle w:val="a3"/>
      </w:pPr>
      <w:r>
        <w:t>     -  ИП Немков</w:t>
      </w:r>
      <w:proofErr w:type="gramStart"/>
      <w:r>
        <w:t xml:space="preserve"> :</w:t>
      </w:r>
      <w:proofErr w:type="gramEnd"/>
      <w:r>
        <w:t xml:space="preserve"> Санкт-Петербург, ул</w:t>
      </w:r>
      <w:proofErr w:type="gramStart"/>
      <w:r>
        <w:t>.О</w:t>
      </w:r>
      <w:proofErr w:type="gramEnd"/>
      <w:r>
        <w:t xml:space="preserve">льги </w:t>
      </w:r>
      <w:proofErr w:type="spellStart"/>
      <w:r>
        <w:t>Форш</w:t>
      </w:r>
      <w:proofErr w:type="spellEnd"/>
      <w:r>
        <w:t>, д.3, кв.49</w:t>
      </w:r>
    </w:p>
    <w:p w:rsidR="000E4CBD" w:rsidRDefault="000E4CBD" w:rsidP="000E4CBD">
      <w:pPr>
        <w:pStyle w:val="a3"/>
      </w:pPr>
      <w:r>
        <w:t xml:space="preserve">     -  ЗАО «АСЭРП»: 196607, Санкт-Петербург, </w:t>
      </w:r>
      <w:proofErr w:type="gramStart"/>
      <w:r>
        <w:t>г</w:t>
      </w:r>
      <w:proofErr w:type="gramEnd"/>
      <w:r>
        <w:t xml:space="preserve">. Пушкин, ул. </w:t>
      </w:r>
      <w:proofErr w:type="spellStart"/>
      <w:r>
        <w:t>Леонтьевская</w:t>
      </w:r>
      <w:proofErr w:type="spellEnd"/>
      <w:r>
        <w:t>, д. 41. Режим работы: понедельник-четверг с 9.00 до 17.30, пятница с 9.00 до 16.30.</w:t>
      </w:r>
    </w:p>
    <w:p w:rsidR="000E4CBD" w:rsidRDefault="000E4CBD" w:rsidP="000E4CBD">
      <w:pPr>
        <w:pStyle w:val="a3"/>
      </w:pPr>
      <w:r>
        <w:t>1.3. Сведения о государственной регистрации лиц:</w:t>
      </w:r>
    </w:p>
    <w:p w:rsidR="000E4CBD" w:rsidRDefault="000E4CBD" w:rsidP="000E4CBD">
      <w:pPr>
        <w:pStyle w:val="a3"/>
      </w:pPr>
      <w:r>
        <w:t xml:space="preserve">     - ИП Немков О.Р.- Свидетельство о </w:t>
      </w:r>
      <w:proofErr w:type="spellStart"/>
      <w:r>
        <w:t>госрегистрации</w:t>
      </w:r>
      <w:proofErr w:type="spellEnd"/>
      <w:r>
        <w:t xml:space="preserve"> </w:t>
      </w:r>
      <w:proofErr w:type="spellStart"/>
      <w:r>
        <w:t>физлица</w:t>
      </w:r>
      <w:proofErr w:type="spellEnd"/>
      <w:r>
        <w:t xml:space="preserve"> в качестве индивидуального предпринимателя: серия 78№ 008645012 выдано Межрайонной инспекцией Федеральной     налоговой службы №15 по Санкт-Петербургу 17.06.2012 года</w:t>
      </w:r>
    </w:p>
    <w:p w:rsidR="000E4CBD" w:rsidRDefault="000E4CBD" w:rsidP="000E4CBD">
      <w:pPr>
        <w:pStyle w:val="a3"/>
      </w:pPr>
      <w:r>
        <w:t xml:space="preserve">     - Закрытое акционерное общество «АСЭРП» создано в 1995 году, зарегистрировано сектором государственной </w:t>
      </w:r>
      <w:proofErr w:type="gramStart"/>
      <w:r>
        <w:t>регистрации предприятий Администрации Пушкинского района Мэрии Санкт-Петербурга</w:t>
      </w:r>
      <w:proofErr w:type="gramEnd"/>
      <w:r>
        <w:t xml:space="preserve"> за регистрационным номером 1224/95.</w:t>
      </w:r>
    </w:p>
    <w:p w:rsidR="000E4CBD" w:rsidRDefault="000E4CBD" w:rsidP="000E4CBD">
      <w:pPr>
        <w:pStyle w:val="a3"/>
      </w:pPr>
      <w:r>
        <w:t>Свидетельство о государственной регистрации юридического лица серия 78 № 008334615.</w:t>
      </w:r>
    </w:p>
    <w:p w:rsidR="000E4CBD" w:rsidRDefault="000E4CBD" w:rsidP="000E4CBD">
      <w:pPr>
        <w:pStyle w:val="a3"/>
      </w:pPr>
      <w:r>
        <w:t>Свидетельство о постановке на учет юридического лица в налоговом органе серия 78 № 006751287; ИНН 7820016480; КПП 782001001.</w:t>
      </w:r>
    </w:p>
    <w:p w:rsidR="000E4CBD" w:rsidRDefault="000E4CBD" w:rsidP="000E4CBD">
      <w:pPr>
        <w:pStyle w:val="a3"/>
      </w:pPr>
      <w:r>
        <w:t>1.4. Учредители Застройщика: физические лица 100%</w:t>
      </w:r>
    </w:p>
    <w:p w:rsidR="000E4CBD" w:rsidRDefault="000E4CBD" w:rsidP="000E4CBD">
      <w:pPr>
        <w:pStyle w:val="a3"/>
      </w:pPr>
      <w:r>
        <w:t>1.5. Проекты строительства объектов недвижимости, в которых принимало участие ЗАО «АСЭРП» в качестве Застройщика в течение 3 лет, предшествующих опубликованию проектной декларации: Ленинградская область, г</w:t>
      </w:r>
      <w:proofErr w:type="gramStart"/>
      <w:r>
        <w:t>.К</w:t>
      </w:r>
      <w:proofErr w:type="gramEnd"/>
      <w:r>
        <w:t xml:space="preserve">ингисепп, ул.Жукова, д.10в – многоэтажный жилой дом со встроенными помещениями и крытой автостоянкой ( ввод в эксплуатацию – декабрь 2009 года), Санкт-Петербург, Пушкин, ул.Архитектора </w:t>
      </w:r>
      <w:proofErr w:type="spellStart"/>
      <w:r>
        <w:t>Данини</w:t>
      </w:r>
      <w:proofErr w:type="spellEnd"/>
      <w:r>
        <w:t xml:space="preserve">, д.11/6 (ввод в эксплуатацию – апрель 2011 года),  Санкт-Петербург, Пушкин, ул. </w:t>
      </w:r>
      <w:proofErr w:type="spellStart"/>
      <w:r>
        <w:t>Новодеревенская</w:t>
      </w:r>
      <w:proofErr w:type="spellEnd"/>
      <w:r>
        <w:t xml:space="preserve">, д.3 (высокая степень готовности), Санкт-Петербург, Пушкин, ул.Московская, д.39 (высокая степень готовности), </w:t>
      </w:r>
      <w:proofErr w:type="spellStart"/>
      <w:r>
        <w:t>таунхаусы</w:t>
      </w:r>
      <w:proofErr w:type="spellEnd"/>
      <w:r>
        <w:t xml:space="preserve"> по адресу Санкт-Петербург, Пушкин, пос</w:t>
      </w:r>
      <w:proofErr w:type="gramStart"/>
      <w:r>
        <w:t>.А</w:t>
      </w:r>
      <w:proofErr w:type="gramEnd"/>
      <w:r>
        <w:t>лександровская, участок 38 (высокая степень готовности).</w:t>
      </w:r>
    </w:p>
    <w:p w:rsidR="000E4CBD" w:rsidRDefault="000E4CBD" w:rsidP="000E4CBD">
      <w:pPr>
        <w:pStyle w:val="a3"/>
      </w:pPr>
      <w:r>
        <w:lastRenderedPageBreak/>
        <w:t>1.6. Виды лицензируемой деятельности Застройщика: Свидетельство о допуске к определенному виду или видам работ, которые оказывают влияние на безопасность объектов капитального строительства, регистрационный номер З32-ДСРО- 14012013 от 14.01.2013 года выдано  </w:t>
      </w:r>
      <w:proofErr w:type="spellStart"/>
      <w:r>
        <w:t>Саморегулируемой</w:t>
      </w:r>
      <w:proofErr w:type="spellEnd"/>
      <w:r>
        <w:t xml:space="preserve"> организацией НПКСК «СОЮЗПЕТРОСТРОЙ-СТАНДАРТ», срок действия свидетельства  – без ограничения срока и территории его действия.</w:t>
      </w:r>
    </w:p>
    <w:p w:rsidR="000E4CBD" w:rsidRDefault="000E4CBD" w:rsidP="000E4CBD">
      <w:pPr>
        <w:pStyle w:val="a3"/>
      </w:pPr>
      <w:r>
        <w:t>        1.7.  Финансовый результат текущего года, размер кредиторской задолженности на день опубликования проектной декларации: финансовый результат на 12.03.2013 года – 6 000 000,00 рублей</w:t>
      </w:r>
    </w:p>
    <w:p w:rsidR="000E4CBD" w:rsidRDefault="000E4CBD" w:rsidP="000E4CBD">
      <w:pPr>
        <w:pStyle w:val="a3"/>
      </w:pPr>
      <w:r>
        <w:t>        Дебиторская задолженность – 11 000 000,00 рублей</w:t>
      </w:r>
    </w:p>
    <w:p w:rsidR="000E4CBD" w:rsidRDefault="000E4CBD" w:rsidP="000E4CBD">
      <w:pPr>
        <w:pStyle w:val="a3"/>
      </w:pPr>
      <w:r>
        <w:t>        Кредиторская задолженность – 13 000 000,00 рублей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 </w:t>
      </w:r>
      <w:r>
        <w:rPr>
          <w:rStyle w:val="a4"/>
        </w:rPr>
        <w:t>2. Информация о проекте строительства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2.1. Цель проекта строительства: Проектирование и строительство многоквартирного жилого дома  по адресу: Ленинградская область, Ломоносовский район, МО Горбунки, д</w:t>
      </w:r>
      <w:proofErr w:type="gramStart"/>
      <w:r>
        <w:t>.Г</w:t>
      </w:r>
      <w:proofErr w:type="gramEnd"/>
      <w:r>
        <w:t>орбунки, участок 47:14:0403007:6.</w:t>
      </w:r>
    </w:p>
    <w:p w:rsidR="000E4CBD" w:rsidRDefault="000E4CBD" w:rsidP="000E4CBD">
      <w:pPr>
        <w:pStyle w:val="a3"/>
      </w:pPr>
      <w:r>
        <w:t>2.2. Этапы реализации проекта строительства:</w:t>
      </w:r>
    </w:p>
    <w:p w:rsidR="000E4CBD" w:rsidRDefault="000E4CBD" w:rsidP="000E4CBD">
      <w:pPr>
        <w:pStyle w:val="a3"/>
      </w:pPr>
      <w:r>
        <w:t>Первый этап – разработка, согласование и утверждение в установленном порядке проектной документации.</w:t>
      </w:r>
    </w:p>
    <w:p w:rsidR="000E4CBD" w:rsidRDefault="000E4CBD" w:rsidP="000E4CBD">
      <w:pPr>
        <w:pStyle w:val="a3"/>
      </w:pPr>
      <w:r>
        <w:t>Второй этап – производство строительных и иных работ, необходимых для ввода Объекта в эксплуатацию, продолжительность этапа –   декабрь  2013  г.</w:t>
      </w:r>
    </w:p>
    <w:p w:rsidR="000E4CBD" w:rsidRDefault="000E4CBD" w:rsidP="000E4CBD">
      <w:pPr>
        <w:pStyle w:val="a3"/>
      </w:pPr>
      <w:r>
        <w:t xml:space="preserve">2.3. Разрешение на строительство: Разрешение на строительство № RU47511303-155-2013 выдано 31.05.2013 года Местной администрацией муниципального образования </w:t>
      </w:r>
      <w:proofErr w:type="spellStart"/>
      <w:r>
        <w:t>Горбунковское</w:t>
      </w:r>
      <w:proofErr w:type="spellEnd"/>
      <w:r>
        <w:t xml:space="preserve"> сельское поселение муниципального образования» Ломоносовского муниципального района ленинградской области</w:t>
      </w:r>
    </w:p>
    <w:p w:rsidR="000E4CBD" w:rsidRDefault="000E4CBD" w:rsidP="000E4CBD">
      <w:pPr>
        <w:pStyle w:val="a3"/>
      </w:pPr>
      <w:r>
        <w:rPr>
          <w:rStyle w:val="a4"/>
        </w:rPr>
        <w:t> </w:t>
      </w:r>
    </w:p>
    <w:p w:rsidR="000E4CBD" w:rsidRDefault="000E4CBD" w:rsidP="000E4CBD">
      <w:pPr>
        <w:pStyle w:val="a3"/>
      </w:pPr>
      <w:r>
        <w:rPr>
          <w:rStyle w:val="a4"/>
        </w:rPr>
        <w:t>3. Информация о земельном участке, на котором осуществляется строительство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3.1. Права Застройщика на земельный участок: Участок находится в аренде у индивидуального предпринимателя Немкова О.Р. – основание Договор аренды  земельного участка № 1129 от 05.12.2011 года,  Договора субаренды земельного участка № 1129 от 20.12.2012г, Договора субаренды земельного участка № 1129 от 21.01.2013 года.</w:t>
      </w:r>
    </w:p>
    <w:p w:rsidR="000E4CBD" w:rsidRDefault="000E4CBD" w:rsidP="000E4CBD">
      <w:pPr>
        <w:pStyle w:val="a3"/>
      </w:pPr>
      <w:r>
        <w:t xml:space="preserve">3.2. Границы и площадь земельного участка, предусмотренные проектной документацией: адрес земельного участка: Ленинградская область, Ломоносовский  район, МО </w:t>
      </w:r>
      <w:proofErr w:type="spellStart"/>
      <w:r>
        <w:t>Горбунковское</w:t>
      </w:r>
      <w:proofErr w:type="spellEnd"/>
      <w:r>
        <w:t xml:space="preserve"> сельское поселение, д</w:t>
      </w:r>
      <w:proofErr w:type="gramStart"/>
      <w:r>
        <w:t>.Г</w:t>
      </w:r>
      <w:proofErr w:type="gramEnd"/>
      <w:r>
        <w:t>орбунки,  кадастровый номер 47:14:0403007:6; площадь земельного участка 1800 кв.м:</w:t>
      </w:r>
    </w:p>
    <w:p w:rsidR="000E4CBD" w:rsidRDefault="000E4CBD" w:rsidP="000E4CBD">
      <w:pPr>
        <w:pStyle w:val="a3"/>
      </w:pPr>
      <w:r>
        <w:lastRenderedPageBreak/>
        <w:t>        - с севера: свободный соседний земельный участок</w:t>
      </w:r>
    </w:p>
    <w:p w:rsidR="000E4CBD" w:rsidRDefault="000E4CBD" w:rsidP="000E4CBD">
      <w:pPr>
        <w:pStyle w:val="a3"/>
      </w:pPr>
      <w:r>
        <w:t>        - с запада: незастроенная территория (санитарно-защитная зона автобусного кольца).</w:t>
      </w:r>
    </w:p>
    <w:p w:rsidR="000E4CBD" w:rsidRDefault="000E4CBD" w:rsidP="000E4CBD">
      <w:pPr>
        <w:pStyle w:val="a3"/>
      </w:pPr>
      <w:r>
        <w:t>3.3 Элементы благоустройства: предполагается организация местного асфальтового проезда (пожарного), усиленного газона с травяным покрытием, организация детских площадок, площадок для отдыха и парковочных мест.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4. Местоположение создаваемого объекта и его описание в соответствие с проектной документацией, на основании которой выдано разрешение на строительство.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Строительство осуществляется на участке площадью 1800 м</w:t>
      </w:r>
      <w:proofErr w:type="gramStart"/>
      <w:r>
        <w:rPr>
          <w:vertAlign w:val="superscript"/>
        </w:rPr>
        <w:t>2</w:t>
      </w:r>
      <w:proofErr w:type="gramEnd"/>
      <w:r>
        <w:t xml:space="preserve"> по адресу: Ленинградская область, Ломоносовский  район, МО </w:t>
      </w:r>
      <w:proofErr w:type="spellStart"/>
      <w:r>
        <w:t>Горбунковское</w:t>
      </w:r>
      <w:proofErr w:type="spellEnd"/>
      <w:r>
        <w:t xml:space="preserve"> сельское поселение, д</w:t>
      </w:r>
      <w:proofErr w:type="gramStart"/>
      <w:r>
        <w:t>.Г</w:t>
      </w:r>
      <w:proofErr w:type="gramEnd"/>
      <w:r>
        <w:t xml:space="preserve">орбунки,  кадастровый номер 47:14:0403007:6. Запроектированное здание представляет собой трехэтажное здание, три секции. </w:t>
      </w:r>
      <w:proofErr w:type="gramStart"/>
      <w:r>
        <w:t xml:space="preserve">Квартиры в доме запроектированы повышенной </w:t>
      </w:r>
      <w:proofErr w:type="spellStart"/>
      <w:r>
        <w:t>комфортност</w:t>
      </w:r>
      <w:proofErr w:type="spellEnd"/>
      <w:r>
        <w:t>.</w:t>
      </w:r>
      <w:proofErr w:type="gramEnd"/>
      <w:r>
        <w:t xml:space="preserve"> В каждой квартире предусмотрена застекленная  лоджия.</w:t>
      </w:r>
    </w:p>
    <w:p w:rsidR="000E4CBD" w:rsidRDefault="000E4CBD" w:rsidP="000E4CBD">
      <w:pPr>
        <w:pStyle w:val="a3"/>
      </w:pPr>
      <w:r>
        <w:t>Во входной части каждой секции – тамбур с местом для хранения колясок.</w:t>
      </w:r>
    </w:p>
    <w:p w:rsidR="000E4CBD" w:rsidRDefault="000E4CBD" w:rsidP="000E4CBD">
      <w:pPr>
        <w:pStyle w:val="a3"/>
      </w:pPr>
      <w:r>
        <w:t xml:space="preserve">Квартиры оснащены </w:t>
      </w:r>
      <w:proofErr w:type="spellStart"/>
      <w:r>
        <w:t>газонагревательным</w:t>
      </w:r>
      <w:proofErr w:type="spellEnd"/>
      <w:r>
        <w:t xml:space="preserve"> </w:t>
      </w:r>
      <w:proofErr w:type="spellStart"/>
      <w:r>
        <w:t>термоблоком</w:t>
      </w:r>
      <w:proofErr w:type="spellEnd"/>
      <w:r>
        <w:t xml:space="preserve"> с  закрытой камерой  сгорания.</w:t>
      </w:r>
    </w:p>
    <w:p w:rsidR="000E4CBD" w:rsidRDefault="000E4CBD" w:rsidP="000E4CBD">
      <w:pPr>
        <w:pStyle w:val="a3"/>
      </w:pPr>
      <w:r>
        <w:t xml:space="preserve">В решении фасадов использована установка декоративных элементов, оштукатуривание фасадов </w:t>
      </w:r>
      <w:proofErr w:type="gramStart"/>
      <w:r>
        <w:t>с</w:t>
      </w:r>
      <w:proofErr w:type="gramEnd"/>
    </w:p>
    <w:p w:rsidR="000E4CBD" w:rsidRDefault="000E4CBD" w:rsidP="000E4CBD">
      <w:pPr>
        <w:pStyle w:val="a3"/>
      </w:pPr>
      <w:r>
        <w:t>последующей покраской.</w:t>
      </w:r>
    </w:p>
    <w:p w:rsidR="000E4CBD" w:rsidRDefault="000E4CBD" w:rsidP="000E4CBD">
      <w:pPr>
        <w:pStyle w:val="a3"/>
      </w:pPr>
      <w:r>
        <w:t>              Кровл</w:t>
      </w:r>
      <w:proofErr w:type="gramStart"/>
      <w:r>
        <w:t>я-</w:t>
      </w:r>
      <w:proofErr w:type="gramEnd"/>
      <w:r>
        <w:t xml:space="preserve"> плоская с устройством парапетов и металлическим ограждением по периметру.</w:t>
      </w:r>
    </w:p>
    <w:p w:rsidR="000E4CBD" w:rsidRDefault="000E4CBD" w:rsidP="000E4CBD">
      <w:pPr>
        <w:pStyle w:val="a3"/>
      </w:pPr>
      <w:r>
        <w:t>Цоколь здания – бетонный цокольный камень.</w:t>
      </w:r>
    </w:p>
    <w:p w:rsidR="000E4CBD" w:rsidRDefault="000E4CBD" w:rsidP="000E4CBD">
      <w:pPr>
        <w:pStyle w:val="a3"/>
      </w:pPr>
      <w:proofErr w:type="spellStart"/>
      <w:r>
        <w:t>Отмостка</w:t>
      </w:r>
      <w:proofErr w:type="spellEnd"/>
      <w:r>
        <w:t xml:space="preserve"> – из асфальтобетона.</w:t>
      </w:r>
    </w:p>
    <w:p w:rsidR="000E4CBD" w:rsidRDefault="000E4CBD" w:rsidP="000E4CBD">
      <w:pPr>
        <w:pStyle w:val="a3"/>
      </w:pPr>
      <w:r>
        <w:t>Фундаменты – ленточные монолитные ж/</w:t>
      </w:r>
      <w:proofErr w:type="spellStart"/>
      <w:r>
        <w:t>бю</w:t>
      </w:r>
      <w:proofErr w:type="spellEnd"/>
      <w:r>
        <w:t xml:space="preserve"> Основание фундамента – </w:t>
      </w:r>
      <w:proofErr w:type="gramStart"/>
      <w:r>
        <w:t>утрамбованный</w:t>
      </w:r>
      <w:proofErr w:type="gramEnd"/>
      <w:r>
        <w:t xml:space="preserve"> со щебнем</w:t>
      </w:r>
    </w:p>
    <w:p w:rsidR="000E4CBD" w:rsidRDefault="000E4CBD" w:rsidP="000E4CBD">
      <w:pPr>
        <w:pStyle w:val="a3"/>
      </w:pPr>
      <w:r>
        <w:t>грунт.</w:t>
      </w:r>
    </w:p>
    <w:p w:rsidR="000E4CBD" w:rsidRDefault="000E4CBD" w:rsidP="000E4CBD">
      <w:pPr>
        <w:pStyle w:val="a3"/>
      </w:pPr>
      <w:r>
        <w:t xml:space="preserve">Стены – блоки несъемной опалубки </w:t>
      </w:r>
      <w:proofErr w:type="spellStart"/>
      <w:r>
        <w:t>Durisol</w:t>
      </w:r>
      <w:proofErr w:type="spellEnd"/>
      <w:r>
        <w:t xml:space="preserve"> толщиной 375 мм с ядром монолитный </w:t>
      </w:r>
      <w:proofErr w:type="gramStart"/>
      <w:r>
        <w:t>ж/б</w:t>
      </w:r>
      <w:proofErr w:type="gramEnd"/>
      <w:r>
        <w:t xml:space="preserve"> – наружные,</w:t>
      </w:r>
    </w:p>
    <w:p w:rsidR="000E4CBD" w:rsidRDefault="000E4CBD" w:rsidP="000E4CBD">
      <w:pPr>
        <w:pStyle w:val="a3"/>
      </w:pPr>
      <w:r>
        <w:t xml:space="preserve">толщиной 220 мм – блоки несъемной опалубки </w:t>
      </w:r>
      <w:proofErr w:type="spellStart"/>
      <w:r>
        <w:t>Durisol</w:t>
      </w:r>
      <w:proofErr w:type="spellEnd"/>
      <w:r>
        <w:t xml:space="preserve"> с ядром монолитный ж/б </w:t>
      </w:r>
      <w:proofErr w:type="gramStart"/>
      <w:r>
        <w:t>-в</w:t>
      </w:r>
      <w:proofErr w:type="gramEnd"/>
      <w:r>
        <w:t>нутренние.</w:t>
      </w:r>
    </w:p>
    <w:p w:rsidR="000E4CBD" w:rsidRDefault="000E4CBD" w:rsidP="000E4CBD">
      <w:pPr>
        <w:pStyle w:val="a3"/>
      </w:pPr>
      <w:r>
        <w:t xml:space="preserve">Перегородки: </w:t>
      </w:r>
      <w:proofErr w:type="spellStart"/>
      <w:r>
        <w:t>пазогребневые</w:t>
      </w:r>
      <w:proofErr w:type="spellEnd"/>
      <w:r>
        <w:t xml:space="preserve"> блоки.</w:t>
      </w:r>
    </w:p>
    <w:p w:rsidR="000E4CBD" w:rsidRDefault="000E4CBD" w:rsidP="000E4CBD">
      <w:pPr>
        <w:pStyle w:val="a3"/>
      </w:pPr>
      <w:r>
        <w:t xml:space="preserve">Перекрытия и покрытия: монолитные </w:t>
      </w:r>
      <w:proofErr w:type="gramStart"/>
      <w:r>
        <w:t>ж/б</w:t>
      </w:r>
      <w:proofErr w:type="gramEnd"/>
      <w:r>
        <w:t xml:space="preserve"> плиты, с последующим выравниванием.</w:t>
      </w:r>
    </w:p>
    <w:p w:rsidR="000E4CBD" w:rsidRDefault="000E4CBD" w:rsidP="000E4CBD">
      <w:pPr>
        <w:pStyle w:val="a3"/>
      </w:pPr>
      <w:r>
        <w:t>Оконные  проемы из металлопластиковых рам со стеклопакетами</w:t>
      </w:r>
      <w:proofErr w:type="gramStart"/>
      <w:r>
        <w:t>..</w:t>
      </w:r>
      <w:proofErr w:type="gramEnd"/>
    </w:p>
    <w:p w:rsidR="000E4CBD" w:rsidRDefault="000E4CBD" w:rsidP="000E4CBD">
      <w:pPr>
        <w:pStyle w:val="a3"/>
      </w:pPr>
      <w:r>
        <w:lastRenderedPageBreak/>
        <w:t> </w:t>
      </w:r>
    </w:p>
    <w:p w:rsidR="000E4CBD" w:rsidRDefault="000E4CBD" w:rsidP="000E4CBD">
      <w:pPr>
        <w:pStyle w:val="a3"/>
      </w:pPr>
      <w:r>
        <w:rPr>
          <w:rStyle w:val="a4"/>
        </w:rPr>
        <w:t>5. Количество в составе строящегося Объекта самостоятельных частей (квартир, иных объектов недвижимости):</w:t>
      </w:r>
    </w:p>
    <w:p w:rsidR="000E4CBD" w:rsidRDefault="000E4CBD" w:rsidP="000E4CBD">
      <w:pPr>
        <w:pStyle w:val="a3"/>
      </w:pPr>
      <w:r>
        <w:t>Количество квартир – 33, общей площадью 1 644,3 м</w:t>
      </w:r>
      <w:proofErr w:type="gramStart"/>
      <w:r>
        <w:rPr>
          <w:vertAlign w:val="superscript"/>
        </w:rPr>
        <w:t>2</w:t>
      </w:r>
      <w:proofErr w:type="gramEnd"/>
      <w:r>
        <w:t>, в том числе: однокомнатные – 15 шт.,</w:t>
      </w:r>
    </w:p>
    <w:p w:rsidR="000E4CBD" w:rsidRDefault="000E4CBD" w:rsidP="000E4CBD">
      <w:pPr>
        <w:pStyle w:val="a3"/>
      </w:pPr>
      <w:r>
        <w:t>двухкомнатные –9 шт., трехкомнатные – 9 шт.</w:t>
      </w:r>
    </w:p>
    <w:p w:rsidR="000E4CBD" w:rsidRDefault="000E4CBD" w:rsidP="000E4CBD">
      <w:pPr>
        <w:pStyle w:val="a3"/>
      </w:pPr>
      <w:r>
        <w:t>Общая площадь объекта капитального строительства- 1 835,7 м</w:t>
      </w:r>
      <w:proofErr w:type="gramStart"/>
      <w:r>
        <w:t>2</w:t>
      </w:r>
      <w:proofErr w:type="gramEnd"/>
    </w:p>
    <w:p w:rsidR="000E4CBD" w:rsidRDefault="000E4CBD" w:rsidP="000E4CBD">
      <w:pPr>
        <w:pStyle w:val="a3"/>
      </w:pPr>
      <w:r>
        <w:t>Строительный объем – 7 900,2 м3, в т.ч. подземной части – 1 299,6 м3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6. Состав общего имущества Объекта, которое будет находиться в общей долевой собственности участников долевого строительство после получения разрешения на ввод Объекта в эксплуатацию и передачи объектов долевого строительства участником долевого строительства.</w:t>
      </w:r>
    </w:p>
    <w:p w:rsidR="000E4CBD" w:rsidRDefault="000E4CBD" w:rsidP="000E4CBD">
      <w:pPr>
        <w:pStyle w:val="a3"/>
      </w:pPr>
      <w:r>
        <w:rPr>
          <w:rStyle w:val="a4"/>
        </w:rPr>
        <w:t> </w:t>
      </w:r>
    </w:p>
    <w:p w:rsidR="000E4CBD" w:rsidRDefault="000E4CBD" w:rsidP="000E4CBD">
      <w:pPr>
        <w:pStyle w:val="a3"/>
      </w:pPr>
      <w:r>
        <w:t> </w:t>
      </w:r>
      <w:proofErr w:type="gramStart"/>
      <w:r>
        <w:t>Помещения в Объекте, не являющиеся частями квартир и предназначенные для обслуживания более одного помещения в Объекте, в том числе: межквартирные лестничные площадки, лестницы,  коридоры, коридоры, в которых имеются инженерные коммуникации, иное обслуживающее более одного помещения в Объекте оборудование,  а также: крыши,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</w:t>
      </w:r>
      <w:proofErr w:type="gramEnd"/>
      <w:r>
        <w:t xml:space="preserve"> помещений будут находиться в общей долевой собственности участников долевого строительства.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7. Предполагаемый срок получения разрешения на ввод Объекта в эксплуатацию.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декабрь    2013 года.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8. Органы государственной власти, органов местного самоуправления и организаций, представители которых принимают участие в приемке Объекта.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Служба государственного строительного надзора и экспертизы Ленинградской области; Администрация Муниципального Образования «</w:t>
      </w:r>
      <w:proofErr w:type="spellStart"/>
      <w:r>
        <w:t>Горбунковское</w:t>
      </w:r>
      <w:proofErr w:type="spellEnd"/>
      <w:r>
        <w:t xml:space="preserve"> сельское  поселение»; Застройщик и Генподрядчик – ЗАО «АСЭРП»; Генеральный проектировщик – ООО «Питер </w:t>
      </w:r>
      <w:proofErr w:type="spellStart"/>
      <w:r>
        <w:t>Девелопмент</w:t>
      </w:r>
      <w:proofErr w:type="spellEnd"/>
      <w:r>
        <w:t>».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lastRenderedPageBreak/>
        <w:t>9. Меры по добровольному страхованию Застройщиком возможных финансовых и прочих рисков при осуществлении проекта строительства.</w:t>
      </w:r>
    </w:p>
    <w:p w:rsidR="000E4CBD" w:rsidRDefault="000E4CBD" w:rsidP="000E4CBD">
      <w:pPr>
        <w:pStyle w:val="a3"/>
      </w:pPr>
      <w:r>
        <w:t xml:space="preserve"> По мнению </w:t>
      </w:r>
      <w:proofErr w:type="gramStart"/>
      <w:r>
        <w:t>Застройщика</w:t>
      </w:r>
      <w:proofErr w:type="gramEnd"/>
      <w:r>
        <w:t xml:space="preserve"> такие риски отсутствуют.</w:t>
      </w:r>
    </w:p>
    <w:p w:rsidR="000E4CBD" w:rsidRDefault="000E4CBD" w:rsidP="000E4CBD">
      <w:pPr>
        <w:pStyle w:val="a3"/>
      </w:pPr>
      <w:r>
        <w:t>Страхование не осуществляется.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10. Планируемая стоимость строительства Объекта.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 60 000,00 тыс. рублей.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11. Организации, осуществляющие основные строительно-монтажные и другие работы (подрядчики).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Генеральный подрядчик – ЗАО «АСЭРП».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12. Способ обеспечения исполнения обязательств Застройщика.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Собственные средства и средства дольщиков.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13.       Иные договоры и сделки, на основании которых привлекаются денежные средства для строительства Объекта, за исключением привлечения денежных средств на основании договоров.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rPr>
          <w:rStyle w:val="a4"/>
        </w:rPr>
        <w:t>14.   Право продаж  - ЗАО «АСЭРП».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Иных договоров и сделок не имеется.</w:t>
      </w:r>
    </w:p>
    <w:p w:rsidR="000E4CBD" w:rsidRDefault="000E4CBD" w:rsidP="000E4CBD">
      <w:pPr>
        <w:pStyle w:val="a3"/>
      </w:pPr>
      <w:r>
        <w:t> </w:t>
      </w:r>
    </w:p>
    <w:p w:rsidR="000E4CBD" w:rsidRDefault="000E4CBD" w:rsidP="000E4CBD">
      <w:pPr>
        <w:pStyle w:val="a3"/>
      </w:pPr>
      <w:r>
        <w:t>Генеральный директор ЗАО “АСЭРП”:________________ Бочаров Л.Н.</w:t>
      </w:r>
    </w:p>
    <w:p w:rsidR="006A06DB" w:rsidRDefault="000E4CBD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4CBD"/>
    <w:rsid w:val="000D6AC3"/>
    <w:rsid w:val="000E4CBD"/>
    <w:rsid w:val="001948DE"/>
    <w:rsid w:val="001F36A4"/>
    <w:rsid w:val="005422A8"/>
    <w:rsid w:val="006532EB"/>
    <w:rsid w:val="007C4D2F"/>
    <w:rsid w:val="0080212F"/>
    <w:rsid w:val="00BC0D5A"/>
    <w:rsid w:val="00C033F2"/>
    <w:rsid w:val="00CA63A9"/>
    <w:rsid w:val="00DD7172"/>
    <w:rsid w:val="00E6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semiHidden/>
    <w:unhideWhenUsed/>
    <w:rsid w:val="000E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7296</Characters>
  <Application>Microsoft Office Word</Application>
  <DocSecurity>0</DocSecurity>
  <Lines>60</Lines>
  <Paragraphs>17</Paragraphs>
  <ScaleCrop>false</ScaleCrop>
  <Company>Microsoft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2013-09-09T11:00:00Z</dcterms:created>
  <dcterms:modified xsi:type="dcterms:W3CDTF">2013-09-09T11:01:00Z</dcterms:modified>
</cp:coreProperties>
</file>