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50E" w:rsidRDefault="00B7050E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ПРОЕКТНАЯ ДЕКЛАРАЦИЯ</w:t>
      </w:r>
    </w:p>
    <w:p w:rsidR="001B2019" w:rsidRDefault="001B2019">
      <w:pPr>
        <w:jc w:val="center"/>
        <w:rPr>
          <w:rFonts w:ascii="Calibri" w:hAnsi="Calibri" w:cs="Arial"/>
          <w:b/>
          <w:sz w:val="28"/>
          <w:szCs w:val="28"/>
        </w:rPr>
      </w:pPr>
      <w:r>
        <w:rPr>
          <w:rFonts w:ascii="Calibri" w:hAnsi="Calibri" w:cs="Arial"/>
          <w:b/>
          <w:sz w:val="28"/>
          <w:szCs w:val="28"/>
        </w:rPr>
        <w:t>(редакция с изменениями от 01.01.2014 года)</w:t>
      </w:r>
    </w:p>
    <w:p w:rsidR="00AB45DC" w:rsidRDefault="00B7050E">
      <w:pPr>
        <w:ind w:left="360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строительства жилого дома со встроенными </w:t>
      </w:r>
      <w:r w:rsidR="002B6D58">
        <w:rPr>
          <w:rFonts w:ascii="Calibri" w:hAnsi="Calibri" w:cs="Arial"/>
          <w:sz w:val="24"/>
        </w:rPr>
        <w:t>учреждениями обслуживания</w:t>
      </w:r>
      <w:r>
        <w:rPr>
          <w:rFonts w:ascii="Calibri" w:hAnsi="Calibri" w:cs="Arial"/>
          <w:sz w:val="24"/>
        </w:rPr>
        <w:t xml:space="preserve"> по адресу: </w:t>
      </w:r>
    </w:p>
    <w:p w:rsidR="00E51749" w:rsidRDefault="00AB45DC">
      <w:pPr>
        <w:ind w:left="360"/>
        <w:jc w:val="center"/>
        <w:rPr>
          <w:rFonts w:ascii="Calibri" w:hAnsi="Calibri" w:cs="Arial"/>
          <w:sz w:val="24"/>
        </w:rPr>
      </w:pPr>
      <w:proofErr w:type="gramStart"/>
      <w:r>
        <w:rPr>
          <w:rFonts w:ascii="Calibri" w:hAnsi="Calibri" w:cs="Arial"/>
          <w:sz w:val="24"/>
        </w:rPr>
        <w:t>Ленинградская</w:t>
      </w:r>
      <w:proofErr w:type="gramEnd"/>
      <w:r>
        <w:rPr>
          <w:rFonts w:ascii="Calibri" w:hAnsi="Calibri" w:cs="Arial"/>
          <w:sz w:val="24"/>
        </w:rPr>
        <w:t xml:space="preserve"> обл.</w:t>
      </w:r>
      <w:r w:rsidR="00B7050E">
        <w:rPr>
          <w:rFonts w:ascii="Calibri" w:hAnsi="Calibri" w:cs="Arial"/>
          <w:sz w:val="24"/>
        </w:rPr>
        <w:t xml:space="preserve">, </w:t>
      </w:r>
      <w:r>
        <w:rPr>
          <w:rFonts w:ascii="Calibri" w:hAnsi="Calibri" w:cs="Arial"/>
          <w:sz w:val="24"/>
        </w:rPr>
        <w:t xml:space="preserve">Тихвинский Муниципальный район, </w:t>
      </w:r>
    </w:p>
    <w:p w:rsidR="00B7050E" w:rsidRDefault="00AB45DC">
      <w:pPr>
        <w:ind w:left="360"/>
        <w:jc w:val="center"/>
        <w:rPr>
          <w:rFonts w:ascii="Calibri" w:hAnsi="Calibri" w:cs="Arial"/>
          <w:sz w:val="24"/>
        </w:rPr>
      </w:pPr>
      <w:r>
        <w:rPr>
          <w:rFonts w:ascii="Calibri" w:hAnsi="Calibri" w:cs="Arial"/>
          <w:sz w:val="24"/>
        </w:rPr>
        <w:t xml:space="preserve">Тихвинское городское поселение, </w:t>
      </w:r>
      <w:proofErr w:type="gramStart"/>
      <w:r>
        <w:rPr>
          <w:rFonts w:ascii="Calibri" w:hAnsi="Calibri" w:cs="Arial"/>
          <w:sz w:val="24"/>
        </w:rPr>
        <w:t>г</w:t>
      </w:r>
      <w:proofErr w:type="gramEnd"/>
      <w:r>
        <w:rPr>
          <w:rFonts w:ascii="Calibri" w:hAnsi="Calibri" w:cs="Arial"/>
          <w:sz w:val="24"/>
        </w:rPr>
        <w:t>. Тихвин, ул. Знаменская, д. 29</w:t>
      </w:r>
      <w:r w:rsidR="00B7050E">
        <w:rPr>
          <w:rFonts w:ascii="Calibri" w:hAnsi="Calibri" w:cs="Arial"/>
          <w:sz w:val="24"/>
        </w:rPr>
        <w:t xml:space="preserve"> </w:t>
      </w:r>
    </w:p>
    <w:p w:rsidR="00B7050E" w:rsidRDefault="00B7050E">
      <w:pPr>
        <w:rPr>
          <w:rFonts w:ascii="Calibri" w:hAnsi="Calibri" w:cs="Arial"/>
          <w:sz w:val="24"/>
        </w:rPr>
      </w:pPr>
    </w:p>
    <w:p w:rsidR="00B7050E" w:rsidRDefault="00B7050E">
      <w:pPr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 xml:space="preserve"> ИНФОРМАЦИЯ О ЗАСТРОЙЩИКЕ</w:t>
      </w:r>
    </w:p>
    <w:p w:rsidR="00B7050E" w:rsidRDefault="00B7050E">
      <w:pPr>
        <w:rPr>
          <w:rFonts w:ascii="Calibri" w:hAnsi="Calibri"/>
          <w:sz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0"/>
        <w:gridCol w:w="6113"/>
      </w:tblGrid>
      <w:tr w:rsidR="00B7050E" w:rsidTr="00887DDA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Наименование застройщика:</w:t>
            </w:r>
          </w:p>
        </w:tc>
        <w:tc>
          <w:tcPr>
            <w:tcW w:w="6113" w:type="dxa"/>
          </w:tcPr>
          <w:p w:rsidR="00B7050E" w:rsidRPr="00887DDA" w:rsidRDefault="00AB5DB3" w:rsidP="001B2019">
            <w:pPr>
              <w:pStyle w:val="a6"/>
              <w:jc w:val="both"/>
              <w:rPr>
                <w:rFonts w:ascii="Calibri" w:hAnsi="Calibri"/>
                <w:b/>
                <w:sz w:val="24"/>
              </w:rPr>
            </w:pPr>
            <w:r w:rsidRPr="00887DDA">
              <w:rPr>
                <w:rFonts w:ascii="Calibri" w:hAnsi="Calibri"/>
                <w:b/>
                <w:sz w:val="24"/>
              </w:rPr>
              <w:t xml:space="preserve">ООО «Строительное </w:t>
            </w:r>
            <w:r w:rsidR="001B2019" w:rsidRPr="00887DDA">
              <w:rPr>
                <w:rFonts w:ascii="Calibri" w:hAnsi="Calibri"/>
                <w:b/>
                <w:sz w:val="24"/>
              </w:rPr>
              <w:t>у</w:t>
            </w:r>
            <w:r w:rsidRPr="00887DDA">
              <w:rPr>
                <w:rFonts w:ascii="Calibri" w:hAnsi="Calibri"/>
                <w:b/>
                <w:sz w:val="24"/>
              </w:rPr>
              <w:t>правление «</w:t>
            </w:r>
            <w:proofErr w:type="spellStart"/>
            <w:r w:rsidRPr="00887DDA">
              <w:rPr>
                <w:rFonts w:ascii="Calibri" w:hAnsi="Calibri"/>
                <w:b/>
                <w:sz w:val="24"/>
              </w:rPr>
              <w:t>Леноблстрой</w:t>
            </w:r>
            <w:proofErr w:type="spellEnd"/>
            <w:r w:rsidRPr="00887DDA">
              <w:rPr>
                <w:rFonts w:ascii="Calibri" w:hAnsi="Calibri"/>
                <w:b/>
                <w:sz w:val="24"/>
              </w:rPr>
              <w:t xml:space="preserve"> - Т»</w:t>
            </w:r>
          </w:p>
        </w:tc>
      </w:tr>
      <w:tr w:rsidR="00B7050E" w:rsidTr="00887DDA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Адрес местонахождения застройщика:</w:t>
            </w:r>
          </w:p>
        </w:tc>
        <w:tc>
          <w:tcPr>
            <w:tcW w:w="6113" w:type="dxa"/>
          </w:tcPr>
          <w:p w:rsidR="00B7050E" w:rsidRDefault="001B2019" w:rsidP="001B2019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Юридический адрес: </w:t>
            </w:r>
            <w:r w:rsidR="0023013D" w:rsidRPr="0023013D">
              <w:rPr>
                <w:rFonts w:ascii="Calibri" w:hAnsi="Calibri"/>
                <w:sz w:val="24"/>
              </w:rPr>
              <w:t>187556</w:t>
            </w:r>
            <w:r w:rsidR="00B7050E" w:rsidRPr="0023013D">
              <w:rPr>
                <w:rFonts w:ascii="Calibri" w:hAnsi="Calibri"/>
                <w:sz w:val="24"/>
              </w:rPr>
              <w:t xml:space="preserve">, </w:t>
            </w:r>
            <w:r w:rsidR="0023013D" w:rsidRPr="0023013D">
              <w:rPr>
                <w:rFonts w:ascii="Calibri" w:hAnsi="Calibri"/>
                <w:sz w:val="24"/>
              </w:rPr>
              <w:t>Ленинградская обл</w:t>
            </w:r>
            <w:r>
              <w:rPr>
                <w:rFonts w:ascii="Calibri" w:hAnsi="Calibri"/>
                <w:sz w:val="24"/>
              </w:rPr>
              <w:t>асть</w:t>
            </w:r>
            <w:r w:rsidR="0023013D" w:rsidRPr="0023013D">
              <w:rPr>
                <w:rFonts w:ascii="Calibri" w:hAnsi="Calibri"/>
                <w:sz w:val="24"/>
              </w:rPr>
              <w:t xml:space="preserve">, </w:t>
            </w:r>
            <w:proofErr w:type="gramStart"/>
            <w:r w:rsidR="0023013D" w:rsidRPr="0023013D">
              <w:rPr>
                <w:rFonts w:ascii="Calibri" w:hAnsi="Calibri"/>
                <w:sz w:val="24"/>
              </w:rPr>
              <w:t>г</w:t>
            </w:r>
            <w:proofErr w:type="gramEnd"/>
            <w:r w:rsidR="0023013D" w:rsidRPr="0023013D">
              <w:rPr>
                <w:rFonts w:ascii="Calibri" w:hAnsi="Calibri"/>
                <w:sz w:val="24"/>
              </w:rPr>
              <w:t>. Тихвин, 4 микрорайон, дом 7</w:t>
            </w:r>
          </w:p>
          <w:p w:rsidR="001B2019" w:rsidRPr="0023013D" w:rsidRDefault="001B2019" w:rsidP="001B2019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Фактический адрес: 187555, Ленинградская обл., г. Тихвин, ул. Знаменская, 29</w:t>
            </w:r>
          </w:p>
        </w:tc>
      </w:tr>
      <w:tr w:rsidR="00B7050E" w:rsidTr="00887DDA">
        <w:trPr>
          <w:trHeight w:val="556"/>
        </w:trPr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Режим работы:</w:t>
            </w:r>
          </w:p>
        </w:tc>
        <w:tc>
          <w:tcPr>
            <w:tcW w:w="6113" w:type="dxa"/>
          </w:tcPr>
          <w:p w:rsidR="00B7050E" w:rsidRDefault="00B7050E">
            <w:pPr>
              <w:pStyle w:val="a6"/>
              <w:snapToGrid w:val="0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Понедельник-пятница с 9:00 до 18:00, суббота, воскресение - выходные дни.</w:t>
            </w:r>
          </w:p>
        </w:tc>
      </w:tr>
      <w:tr w:rsidR="00B7050E" w:rsidTr="00887DDA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Сведения о государственной регистрации застройщика:</w:t>
            </w:r>
          </w:p>
        </w:tc>
        <w:tc>
          <w:tcPr>
            <w:tcW w:w="6113" w:type="dxa"/>
          </w:tcPr>
          <w:p w:rsidR="00B7050E" w:rsidRPr="002B6D58" w:rsidRDefault="002B6D58" w:rsidP="002B6D58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 w:rsidRPr="002B6D58">
              <w:rPr>
                <w:rFonts w:ascii="Calibri" w:hAnsi="Calibri" w:cs="Tahoma"/>
                <w:sz w:val="24"/>
                <w:lang/>
              </w:rPr>
              <w:t>Основной государственный регистрационный номер 1084715001469, с</w:t>
            </w:r>
            <w:r w:rsidR="00B7050E" w:rsidRPr="002B6D58">
              <w:rPr>
                <w:rFonts w:ascii="Calibri" w:hAnsi="Calibri" w:cs="Tahoma"/>
                <w:sz w:val="24"/>
                <w:lang/>
              </w:rPr>
              <w:t xml:space="preserve">видетельство серии 78 № </w:t>
            </w:r>
            <w:r w:rsidRPr="002B6D58">
              <w:rPr>
                <w:rFonts w:ascii="Calibri" w:hAnsi="Calibri" w:cs="Tahoma"/>
                <w:sz w:val="24"/>
                <w:lang/>
              </w:rPr>
              <w:t>006901470</w:t>
            </w:r>
            <w:r w:rsidR="00B7050E" w:rsidRPr="002B6D58">
              <w:rPr>
                <w:rFonts w:ascii="Calibri" w:hAnsi="Calibri" w:cs="Tahoma"/>
                <w:sz w:val="24"/>
                <w:lang/>
              </w:rPr>
              <w:t xml:space="preserve"> выдано </w:t>
            </w:r>
            <w:r w:rsidRPr="002B6D58">
              <w:rPr>
                <w:rFonts w:ascii="Calibri" w:hAnsi="Calibri" w:cs="Tahoma"/>
                <w:sz w:val="24"/>
                <w:lang/>
              </w:rPr>
              <w:t>26.09.2008 г. Межрайонной и</w:t>
            </w:r>
            <w:r w:rsidR="00B7050E" w:rsidRPr="002B6D58">
              <w:rPr>
                <w:rFonts w:ascii="Calibri" w:hAnsi="Calibri" w:cs="Tahoma"/>
                <w:sz w:val="24"/>
                <w:lang/>
              </w:rPr>
              <w:t xml:space="preserve">нспекцией </w:t>
            </w:r>
            <w:r w:rsidRPr="002B6D58">
              <w:rPr>
                <w:rFonts w:ascii="Calibri" w:hAnsi="Calibri" w:cs="Tahoma"/>
                <w:sz w:val="24"/>
                <w:lang/>
              </w:rPr>
              <w:t>Федеральной налоговой службы №6 по Ленинградской области</w:t>
            </w:r>
            <w:r w:rsidR="00B7050E" w:rsidRPr="002B6D58">
              <w:rPr>
                <w:rFonts w:ascii="Calibri" w:hAnsi="Calibri" w:cs="Tahoma"/>
                <w:sz w:val="24"/>
                <w:lang/>
              </w:rPr>
              <w:t>, ИНН</w:t>
            </w:r>
            <w:r w:rsidRPr="002B6D58">
              <w:rPr>
                <w:rFonts w:ascii="Calibri" w:hAnsi="Calibri" w:cs="Tahoma"/>
                <w:sz w:val="24"/>
                <w:lang/>
              </w:rPr>
              <w:t xml:space="preserve"> 4715021373, КПП 471501001</w:t>
            </w:r>
          </w:p>
        </w:tc>
      </w:tr>
      <w:tr w:rsidR="00B7050E" w:rsidTr="00887DDA">
        <w:tc>
          <w:tcPr>
            <w:tcW w:w="3570" w:type="dxa"/>
          </w:tcPr>
          <w:p w:rsidR="00B7050E" w:rsidRDefault="00B7050E">
            <w:pPr>
              <w:pStyle w:val="a6"/>
              <w:snapToGrid w:val="0"/>
              <w:ind w:left="5" w:right="-1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Сведения об учредителях (участниках) застройщика, которые обладают пятью и более процентами голосов в органе управления застройщика:</w:t>
            </w:r>
          </w:p>
        </w:tc>
        <w:tc>
          <w:tcPr>
            <w:tcW w:w="6113" w:type="dxa"/>
          </w:tcPr>
          <w:p w:rsidR="00B7050E" w:rsidRDefault="001B2019" w:rsidP="00436238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Общество с ограниченной ответственностью «Группа  Компаний СТАНДАРТ», ОГРН 1127847412285 – 50%,</w:t>
            </w:r>
            <w:r w:rsidR="00791DD9">
              <w:rPr>
                <w:rFonts w:ascii="Calibri" w:hAnsi="Calibri" w:cs="Tahoma"/>
                <w:sz w:val="24"/>
                <w:lang/>
              </w:rPr>
              <w:t xml:space="preserve"> Гражданка Российской Федерации Цветкова Мария Владимировна – 50%</w:t>
            </w:r>
          </w:p>
        </w:tc>
      </w:tr>
      <w:tr w:rsidR="00B7050E" w:rsidTr="00887DDA">
        <w:tc>
          <w:tcPr>
            <w:tcW w:w="3570" w:type="dxa"/>
          </w:tcPr>
          <w:p w:rsidR="00B7050E" w:rsidRDefault="00B7050E">
            <w:pPr>
              <w:pStyle w:val="a6"/>
              <w:snapToGrid w:val="0"/>
              <w:ind w:left="5" w:right="-10" w:firstLine="15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Информация о проектах строительства многоквартирных домов и (или) иных объектов недвижимости, в строительстве которых принимал участие застройщик в течение предыдущих 3 (трех) лет:</w:t>
            </w:r>
          </w:p>
        </w:tc>
        <w:tc>
          <w:tcPr>
            <w:tcW w:w="6113" w:type="dxa"/>
          </w:tcPr>
          <w:p w:rsidR="00B7050E" w:rsidRDefault="00436238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Участие не принимал.</w:t>
            </w:r>
          </w:p>
        </w:tc>
      </w:tr>
      <w:tr w:rsidR="00B7050E" w:rsidTr="00887DDA">
        <w:tc>
          <w:tcPr>
            <w:tcW w:w="3570" w:type="dxa"/>
          </w:tcPr>
          <w:p w:rsidR="00B7050E" w:rsidRDefault="00B7050E">
            <w:pPr>
              <w:pStyle w:val="a6"/>
              <w:snapToGrid w:val="0"/>
              <w:ind w:left="5" w:right="-1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>Информация о лицензируемой деятельности застройщика. Виды лицензируемой деятельности застройщика:</w:t>
            </w:r>
          </w:p>
        </w:tc>
        <w:tc>
          <w:tcPr>
            <w:tcW w:w="6113" w:type="dxa"/>
          </w:tcPr>
          <w:p w:rsidR="00B7050E" w:rsidRDefault="00E9732C" w:rsidP="00E9732C">
            <w:pPr>
              <w:pStyle w:val="a6"/>
              <w:snapToGrid w:val="0"/>
              <w:ind w:left="5" w:right="5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Деятельность,</w:t>
            </w:r>
            <w:r w:rsidR="00B7050E">
              <w:rPr>
                <w:rFonts w:ascii="Calibri" w:hAnsi="Calibri" w:cs="Tahoma"/>
                <w:sz w:val="24"/>
                <w:lang/>
              </w:rPr>
              <w:t xml:space="preserve"> подлежащую лицензированию</w:t>
            </w:r>
            <w:r>
              <w:rPr>
                <w:rFonts w:ascii="Calibri" w:hAnsi="Calibri" w:cs="Tahoma"/>
                <w:sz w:val="24"/>
                <w:lang/>
              </w:rPr>
              <w:t xml:space="preserve">, </w:t>
            </w:r>
            <w:r w:rsidR="00B7050E">
              <w:rPr>
                <w:rFonts w:ascii="Calibri" w:hAnsi="Calibri" w:cs="Tahoma"/>
                <w:sz w:val="24"/>
                <w:lang/>
              </w:rPr>
              <w:t xml:space="preserve"> застройщик не осуществляет.</w:t>
            </w:r>
          </w:p>
          <w:p w:rsidR="00B7050E" w:rsidRDefault="00B7050E">
            <w:pPr>
              <w:pStyle w:val="a6"/>
              <w:snapToGrid w:val="0"/>
              <w:ind w:left="5" w:right="5" w:firstLine="345"/>
              <w:jc w:val="both"/>
              <w:rPr>
                <w:rFonts w:ascii="Calibri" w:hAnsi="Calibri" w:cs="Tahoma"/>
                <w:sz w:val="24"/>
                <w:lang/>
              </w:rPr>
            </w:pPr>
          </w:p>
        </w:tc>
      </w:tr>
    </w:tbl>
    <w:p w:rsidR="00B7050E" w:rsidRDefault="00B7050E"/>
    <w:p w:rsidR="00B7050E" w:rsidRDefault="00B7050E"/>
    <w:p w:rsidR="00B7050E" w:rsidRDefault="00B7050E">
      <w:pPr>
        <w:jc w:val="center"/>
        <w:rPr>
          <w:rFonts w:ascii="Calibri" w:hAnsi="Calibri" w:cs="Arial"/>
          <w:b/>
          <w:sz w:val="24"/>
        </w:rPr>
      </w:pPr>
      <w:r>
        <w:rPr>
          <w:rFonts w:ascii="Calibri" w:hAnsi="Calibri" w:cs="Arial"/>
          <w:b/>
          <w:sz w:val="24"/>
        </w:rPr>
        <w:t>ИНФОРМАЦИЯ О ПРОЕКТЕ СТРОИТЕЛЬСТВА</w:t>
      </w:r>
    </w:p>
    <w:p w:rsidR="00B7050E" w:rsidRDefault="00B7050E">
      <w:pPr>
        <w:rPr>
          <w:rFonts w:ascii="Calibri" w:hAnsi="Calibri"/>
          <w:sz w:val="24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570"/>
        <w:gridCol w:w="6113"/>
      </w:tblGrid>
      <w:tr w:rsidR="00B7050E" w:rsidTr="002B6D58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Цель проекта строительства:</w:t>
            </w:r>
          </w:p>
        </w:tc>
        <w:tc>
          <w:tcPr>
            <w:tcW w:w="6113" w:type="dxa"/>
          </w:tcPr>
          <w:p w:rsidR="00B7050E" w:rsidRDefault="00B7050E" w:rsidP="002B6D58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Строительство жилого дома со встроенными </w:t>
            </w:r>
            <w:r w:rsidR="002B6D58">
              <w:rPr>
                <w:rFonts w:ascii="Calibri" w:hAnsi="Calibri"/>
                <w:sz w:val="24"/>
              </w:rPr>
              <w:t xml:space="preserve">учреждениями обслуживания по </w:t>
            </w:r>
            <w:r>
              <w:rPr>
                <w:rFonts w:ascii="Calibri" w:hAnsi="Calibri"/>
                <w:sz w:val="24"/>
              </w:rPr>
              <w:t xml:space="preserve"> адресу: </w:t>
            </w:r>
            <w:proofErr w:type="gramStart"/>
            <w:r w:rsidR="002B6D58">
              <w:rPr>
                <w:rFonts w:ascii="Calibri" w:hAnsi="Calibri" w:cs="Arial"/>
                <w:sz w:val="24"/>
              </w:rPr>
              <w:t xml:space="preserve">Ленинградская обл., Тихвинский Муниципальный район, Тихвинское городское поселение, г. Тихвин, ул. Знаменская, д. 29 </w:t>
            </w:r>
            <w:proofErr w:type="gramEnd"/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Этапы строительства и сроки реализации проекта строительства:</w:t>
            </w:r>
          </w:p>
        </w:tc>
        <w:tc>
          <w:tcPr>
            <w:tcW w:w="6113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Начало проектирования — </w:t>
            </w:r>
            <w:r>
              <w:rPr>
                <w:rFonts w:ascii="Calibri" w:hAnsi="Calibri"/>
                <w:sz w:val="24"/>
                <w:lang w:val="en-US"/>
              </w:rPr>
              <w:t>I</w:t>
            </w:r>
            <w:r w:rsidR="00DB64C0">
              <w:rPr>
                <w:rFonts w:ascii="Calibri" w:hAnsi="Calibri"/>
                <w:sz w:val="24"/>
                <w:lang w:val="en-US"/>
              </w:rPr>
              <w:t>I</w:t>
            </w:r>
            <w:r w:rsidRPr="004737C0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квартал </w:t>
            </w:r>
            <w:r w:rsidRPr="004737C0">
              <w:rPr>
                <w:rFonts w:ascii="Calibri" w:hAnsi="Calibri"/>
                <w:sz w:val="24"/>
              </w:rPr>
              <w:t>20</w:t>
            </w:r>
            <w:r w:rsidR="00DB64C0" w:rsidRPr="00A95C74">
              <w:rPr>
                <w:rFonts w:ascii="Calibri" w:hAnsi="Calibri"/>
                <w:sz w:val="24"/>
              </w:rPr>
              <w:t>07</w:t>
            </w:r>
            <w:r w:rsidR="00FA3229">
              <w:rPr>
                <w:rFonts w:ascii="Calibri" w:hAnsi="Calibri"/>
                <w:sz w:val="24"/>
              </w:rPr>
              <w:t xml:space="preserve"> </w:t>
            </w:r>
            <w:r w:rsidRPr="004737C0">
              <w:rPr>
                <w:rFonts w:ascii="Calibri" w:hAnsi="Calibri"/>
                <w:sz w:val="24"/>
              </w:rPr>
              <w:t>г</w:t>
            </w:r>
            <w:r>
              <w:rPr>
                <w:rFonts w:ascii="Calibri" w:hAnsi="Calibri"/>
                <w:sz w:val="24"/>
              </w:rPr>
              <w:t>.</w:t>
            </w:r>
          </w:p>
          <w:p w:rsidR="00B7050E" w:rsidRDefault="00B7050E">
            <w:pPr>
              <w:pStyle w:val="a6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Начало строительства — </w:t>
            </w:r>
            <w:r w:rsidR="00DB64C0">
              <w:rPr>
                <w:rFonts w:ascii="Calibri" w:hAnsi="Calibri"/>
                <w:sz w:val="24"/>
                <w:lang w:val="en-US"/>
              </w:rPr>
              <w:t>IV</w:t>
            </w:r>
            <w:r w:rsidR="00DB64C0" w:rsidRPr="004737C0">
              <w:rPr>
                <w:rFonts w:ascii="Calibri" w:hAnsi="Calibri"/>
                <w:sz w:val="24"/>
              </w:rPr>
              <w:t xml:space="preserve"> </w:t>
            </w:r>
            <w:r w:rsidR="00DB64C0">
              <w:rPr>
                <w:rFonts w:ascii="Calibri" w:hAnsi="Calibri"/>
                <w:sz w:val="24"/>
              </w:rPr>
              <w:t>квартал 201</w:t>
            </w:r>
            <w:r w:rsidR="00791DD9">
              <w:rPr>
                <w:rFonts w:ascii="Calibri" w:hAnsi="Calibri"/>
                <w:sz w:val="24"/>
              </w:rPr>
              <w:t>1</w:t>
            </w:r>
            <w:r w:rsidR="00FA3229">
              <w:rPr>
                <w:rFonts w:ascii="Calibri" w:hAnsi="Calibri"/>
                <w:sz w:val="24"/>
              </w:rPr>
              <w:t xml:space="preserve"> </w:t>
            </w:r>
            <w:r w:rsidR="00DB64C0">
              <w:rPr>
                <w:rFonts w:ascii="Calibri" w:hAnsi="Calibri"/>
                <w:sz w:val="24"/>
              </w:rPr>
              <w:t>г.</w:t>
            </w:r>
          </w:p>
          <w:p w:rsidR="00B7050E" w:rsidRDefault="00B7050E" w:rsidP="001B2019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Окончание строительства — </w:t>
            </w:r>
            <w:r>
              <w:rPr>
                <w:rFonts w:ascii="Calibri" w:hAnsi="Calibri"/>
                <w:sz w:val="24"/>
                <w:lang w:val="en-US"/>
              </w:rPr>
              <w:t>IV</w:t>
            </w:r>
            <w:r w:rsidRPr="004737C0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квартал 201</w:t>
            </w:r>
            <w:r w:rsidR="001B2019">
              <w:rPr>
                <w:rFonts w:ascii="Calibri" w:hAnsi="Calibri"/>
                <w:sz w:val="24"/>
              </w:rPr>
              <w:t>4</w:t>
            </w:r>
            <w:r w:rsidR="00FA3229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г.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Результаты государственной экспертизы проектной документации:</w:t>
            </w:r>
          </w:p>
        </w:tc>
        <w:tc>
          <w:tcPr>
            <w:tcW w:w="6113" w:type="dxa"/>
          </w:tcPr>
          <w:p w:rsidR="00B7050E" w:rsidRDefault="00B7050E" w:rsidP="006F489A">
            <w:pPr>
              <w:pStyle w:val="a6"/>
              <w:snapToGrid w:val="0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Положительное заключение государственной экспертизы  </w:t>
            </w:r>
            <w:r w:rsidR="006F489A">
              <w:rPr>
                <w:rFonts w:ascii="Calibri" w:hAnsi="Calibri" w:cs="Tahoma"/>
                <w:sz w:val="24"/>
                <w:lang/>
              </w:rPr>
              <w:t xml:space="preserve">проектной документации </w:t>
            </w:r>
            <w:r>
              <w:rPr>
                <w:rFonts w:ascii="Calibri" w:hAnsi="Calibri" w:cs="Tahoma"/>
                <w:sz w:val="24"/>
                <w:lang/>
              </w:rPr>
              <w:t xml:space="preserve">№ </w:t>
            </w:r>
            <w:r w:rsidR="006F489A">
              <w:rPr>
                <w:rFonts w:ascii="Calibri" w:hAnsi="Calibri" w:cs="Tahoma"/>
                <w:sz w:val="24"/>
                <w:lang/>
              </w:rPr>
              <w:t>40-</w:t>
            </w:r>
            <w:r w:rsidR="006F489A">
              <w:rPr>
                <w:rFonts w:ascii="Calibri" w:hAnsi="Calibri" w:cs="Tahoma"/>
                <w:sz w:val="24"/>
                <w:lang w:val="en-US"/>
              </w:rPr>
              <w:t>I</w:t>
            </w:r>
            <w:r w:rsidR="006F489A" w:rsidRPr="006F489A">
              <w:rPr>
                <w:rFonts w:ascii="Calibri" w:hAnsi="Calibri" w:cs="Tahoma"/>
                <w:sz w:val="24"/>
                <w:lang/>
              </w:rPr>
              <w:t xml:space="preserve"> (06) </w:t>
            </w:r>
            <w:r w:rsidR="006F489A">
              <w:rPr>
                <w:rFonts w:ascii="Calibri" w:hAnsi="Calibri" w:cs="Tahoma"/>
                <w:sz w:val="24"/>
                <w:lang/>
              </w:rPr>
              <w:t xml:space="preserve">от 01.08.2007 г., </w:t>
            </w:r>
            <w:r>
              <w:rPr>
                <w:rFonts w:ascii="Calibri" w:hAnsi="Calibri" w:cs="Tahoma"/>
                <w:sz w:val="24"/>
                <w:lang/>
              </w:rPr>
              <w:t xml:space="preserve">выдано </w:t>
            </w:r>
            <w:r w:rsidR="006F489A">
              <w:rPr>
                <w:rFonts w:ascii="Calibri" w:hAnsi="Calibri" w:cs="Tahoma"/>
                <w:sz w:val="24"/>
                <w:lang/>
              </w:rPr>
              <w:t>ГОУ «Ленинградское областное управление государственной вневедомственной экспертизы»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Разрешение на строительство:</w:t>
            </w:r>
          </w:p>
        </w:tc>
        <w:tc>
          <w:tcPr>
            <w:tcW w:w="6113" w:type="dxa"/>
          </w:tcPr>
          <w:p w:rsidR="00B7050E" w:rsidRDefault="00B7050E">
            <w:pPr>
              <w:pStyle w:val="a6"/>
              <w:snapToGrid w:val="0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Разрешение на строительство № </w:t>
            </w:r>
            <w:r w:rsidR="006F489A">
              <w:rPr>
                <w:rFonts w:ascii="Calibri" w:hAnsi="Calibri" w:cs="Tahoma"/>
                <w:sz w:val="24"/>
                <w:lang w:val="en-US"/>
              </w:rPr>
              <w:t>RU</w:t>
            </w:r>
            <w:r w:rsidR="006F489A" w:rsidRPr="006F489A">
              <w:rPr>
                <w:rFonts w:ascii="Calibri" w:hAnsi="Calibri" w:cs="Tahoma"/>
                <w:sz w:val="24"/>
                <w:lang/>
              </w:rPr>
              <w:t xml:space="preserve">47516101 – </w:t>
            </w:r>
            <w:r w:rsidR="001B2019">
              <w:rPr>
                <w:rFonts w:ascii="Calibri" w:hAnsi="Calibri" w:cs="Tahoma"/>
                <w:sz w:val="24"/>
                <w:lang/>
              </w:rPr>
              <w:t>174</w:t>
            </w:r>
            <w:r w:rsidR="006F489A" w:rsidRPr="006F489A">
              <w:rPr>
                <w:rFonts w:ascii="Calibri" w:hAnsi="Calibri" w:cs="Tahoma"/>
                <w:sz w:val="24"/>
                <w:lang/>
              </w:rPr>
              <w:t xml:space="preserve"> </w:t>
            </w:r>
            <w:r w:rsidR="006F489A">
              <w:rPr>
                <w:rFonts w:ascii="Calibri" w:hAnsi="Calibri" w:cs="Tahoma"/>
                <w:sz w:val="24"/>
                <w:lang/>
              </w:rPr>
              <w:t xml:space="preserve">от </w:t>
            </w:r>
            <w:r w:rsidR="001B2019">
              <w:rPr>
                <w:rFonts w:ascii="Calibri" w:hAnsi="Calibri" w:cs="Tahoma"/>
                <w:sz w:val="24"/>
                <w:lang/>
              </w:rPr>
              <w:t>20.12</w:t>
            </w:r>
            <w:r w:rsidR="00887DDA">
              <w:rPr>
                <w:rFonts w:ascii="Calibri" w:hAnsi="Calibri" w:cs="Tahoma"/>
                <w:sz w:val="24"/>
                <w:lang/>
              </w:rPr>
              <w:t>.</w:t>
            </w:r>
            <w:r w:rsidR="006F489A">
              <w:rPr>
                <w:rFonts w:ascii="Calibri" w:hAnsi="Calibri" w:cs="Tahoma"/>
                <w:sz w:val="24"/>
                <w:lang/>
              </w:rPr>
              <w:t>20</w:t>
            </w:r>
            <w:r w:rsidR="001B2019">
              <w:rPr>
                <w:rFonts w:ascii="Calibri" w:hAnsi="Calibri" w:cs="Tahoma"/>
                <w:sz w:val="24"/>
                <w:lang/>
              </w:rPr>
              <w:t>13</w:t>
            </w:r>
            <w:r w:rsidR="006F489A">
              <w:rPr>
                <w:rFonts w:ascii="Calibri" w:hAnsi="Calibri" w:cs="Tahoma"/>
                <w:sz w:val="24"/>
                <w:lang/>
              </w:rPr>
              <w:t xml:space="preserve"> г.</w:t>
            </w:r>
            <w:r>
              <w:rPr>
                <w:rFonts w:ascii="Calibri" w:hAnsi="Calibri" w:cs="Tahoma"/>
                <w:sz w:val="24"/>
                <w:lang/>
              </w:rPr>
              <w:t xml:space="preserve">, выдано </w:t>
            </w:r>
            <w:r w:rsidR="006F489A">
              <w:rPr>
                <w:rFonts w:ascii="Calibri" w:hAnsi="Calibri" w:cs="Tahoma"/>
                <w:sz w:val="24"/>
                <w:lang/>
              </w:rPr>
              <w:t xml:space="preserve">Администрацией муниципального образования  Тихвинского муниципального района Ленинградской области </w:t>
            </w:r>
          </w:p>
          <w:p w:rsidR="00B7050E" w:rsidRPr="00887DDA" w:rsidRDefault="00B7050E" w:rsidP="001B2019">
            <w:pPr>
              <w:pStyle w:val="a6"/>
              <w:snapToGrid w:val="0"/>
              <w:rPr>
                <w:rFonts w:ascii="Calibri" w:hAnsi="Calibri" w:cs="Tahoma"/>
                <w:b/>
                <w:sz w:val="24"/>
                <w:lang/>
              </w:rPr>
            </w:pPr>
            <w:r w:rsidRPr="00887DDA">
              <w:rPr>
                <w:rFonts w:ascii="Calibri" w:hAnsi="Calibri" w:cs="Tahoma"/>
                <w:b/>
                <w:sz w:val="24"/>
                <w:lang/>
              </w:rPr>
              <w:t>Срок действия разрешения</w:t>
            </w:r>
            <w:r w:rsidR="005E428C" w:rsidRPr="00887DDA">
              <w:rPr>
                <w:rFonts w:ascii="Calibri" w:hAnsi="Calibri" w:cs="Tahoma"/>
                <w:b/>
                <w:sz w:val="24"/>
                <w:lang/>
              </w:rPr>
              <w:t xml:space="preserve"> — </w:t>
            </w:r>
            <w:r w:rsidRPr="00887DDA">
              <w:rPr>
                <w:rFonts w:ascii="Calibri" w:hAnsi="Calibri" w:cs="Tahoma"/>
                <w:b/>
                <w:sz w:val="24"/>
                <w:lang/>
              </w:rPr>
              <w:t xml:space="preserve">до </w:t>
            </w:r>
            <w:r w:rsidR="001B2019" w:rsidRPr="00887DDA">
              <w:rPr>
                <w:rFonts w:ascii="Calibri" w:hAnsi="Calibri" w:cs="Tahoma"/>
                <w:b/>
                <w:sz w:val="24"/>
                <w:lang/>
              </w:rPr>
              <w:t>20</w:t>
            </w:r>
            <w:r w:rsidRPr="00887DDA">
              <w:rPr>
                <w:rFonts w:ascii="Calibri" w:hAnsi="Calibri" w:cs="Tahoma"/>
                <w:b/>
                <w:sz w:val="24"/>
                <w:lang/>
              </w:rPr>
              <w:t>.1</w:t>
            </w:r>
            <w:r w:rsidR="001B2019" w:rsidRPr="00887DDA">
              <w:rPr>
                <w:rFonts w:ascii="Calibri" w:hAnsi="Calibri" w:cs="Tahoma"/>
                <w:b/>
                <w:sz w:val="24"/>
                <w:lang/>
              </w:rPr>
              <w:t>2</w:t>
            </w:r>
            <w:r w:rsidRPr="00887DDA">
              <w:rPr>
                <w:rFonts w:ascii="Calibri" w:hAnsi="Calibri" w:cs="Tahoma"/>
                <w:b/>
                <w:sz w:val="24"/>
                <w:lang/>
              </w:rPr>
              <w:t>.201</w:t>
            </w:r>
            <w:r w:rsidR="001B2019" w:rsidRPr="00887DDA">
              <w:rPr>
                <w:rFonts w:ascii="Calibri" w:hAnsi="Calibri" w:cs="Tahoma"/>
                <w:b/>
                <w:sz w:val="24"/>
                <w:lang/>
              </w:rPr>
              <w:t>4</w:t>
            </w:r>
            <w:r w:rsidRPr="00887DDA">
              <w:rPr>
                <w:rFonts w:ascii="Calibri" w:hAnsi="Calibri" w:cs="Tahoma"/>
                <w:b/>
                <w:sz w:val="24"/>
                <w:lang/>
              </w:rPr>
              <w:t xml:space="preserve"> года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Права застройщика на земельный участок:</w:t>
            </w:r>
          </w:p>
        </w:tc>
        <w:tc>
          <w:tcPr>
            <w:tcW w:w="6113" w:type="dxa"/>
          </w:tcPr>
          <w:p w:rsidR="00B7050E" w:rsidRDefault="00BC334C" w:rsidP="00BC334C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Договор аренды земельного № 126/08 от 20.10.2008 г. с Администрацией муниципального образования Тихвинский Муниципальный район Ленинградской области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Информация о земельном участке:</w:t>
            </w:r>
          </w:p>
        </w:tc>
        <w:tc>
          <w:tcPr>
            <w:tcW w:w="6113" w:type="dxa"/>
          </w:tcPr>
          <w:p w:rsidR="00AF659A" w:rsidRDefault="00B7050E">
            <w:pPr>
              <w:pStyle w:val="a6"/>
              <w:snapToGrid w:val="0"/>
              <w:jc w:val="both"/>
              <w:rPr>
                <w:rFonts w:ascii="Calibri" w:hAnsi="Calibri" w:cs="Arial"/>
                <w:sz w:val="24"/>
              </w:rPr>
            </w:pPr>
            <w:proofErr w:type="gramStart"/>
            <w:r>
              <w:rPr>
                <w:rFonts w:ascii="Calibri" w:hAnsi="Calibri" w:cs="Tahoma"/>
                <w:sz w:val="24"/>
                <w:lang/>
              </w:rPr>
              <w:t xml:space="preserve">Участок, отведенный под строительство жилого дома со  </w:t>
            </w:r>
            <w:r w:rsidR="00AF659A">
              <w:rPr>
                <w:rFonts w:ascii="Calibri" w:hAnsi="Calibri"/>
                <w:sz w:val="24"/>
              </w:rPr>
              <w:t>встроенными учреждениями обслуживания</w:t>
            </w:r>
            <w:r w:rsidR="00AF659A">
              <w:rPr>
                <w:rFonts w:ascii="Calibri" w:hAnsi="Calibri" w:cs="Tahoma"/>
                <w:sz w:val="24"/>
                <w:lang/>
              </w:rPr>
              <w:t xml:space="preserve"> располагается</w:t>
            </w:r>
            <w:proofErr w:type="gramEnd"/>
            <w:r w:rsidR="00AF659A">
              <w:rPr>
                <w:rFonts w:ascii="Calibri" w:hAnsi="Calibri" w:cs="Tahoma"/>
                <w:sz w:val="24"/>
                <w:lang/>
              </w:rPr>
              <w:t xml:space="preserve"> по адресу: </w:t>
            </w:r>
            <w:proofErr w:type="gramStart"/>
            <w:r w:rsidR="00AF659A">
              <w:rPr>
                <w:rFonts w:ascii="Calibri" w:hAnsi="Calibri" w:cs="Arial"/>
                <w:sz w:val="24"/>
              </w:rPr>
              <w:t>Ленинградская обл., Тихвинский Муниципальный район, Тихвинское городское поселение, г. Тихвин, ул. Знаменская, д. 29.</w:t>
            </w:r>
            <w:proofErr w:type="gramEnd"/>
          </w:p>
          <w:p w:rsidR="00B7050E" w:rsidRDefault="00B7050E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Участок ограничен:</w:t>
            </w:r>
          </w:p>
          <w:p w:rsidR="00B7050E" w:rsidRDefault="00AF659A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с северо-востока — улицей </w:t>
            </w:r>
            <w:proofErr w:type="gramStart"/>
            <w:r>
              <w:rPr>
                <w:rFonts w:ascii="Calibri" w:hAnsi="Calibri" w:cs="Tahoma"/>
                <w:sz w:val="24"/>
                <w:lang/>
              </w:rPr>
              <w:t>Новгородская</w:t>
            </w:r>
            <w:proofErr w:type="gramEnd"/>
            <w:r w:rsidR="00B7050E">
              <w:rPr>
                <w:rFonts w:ascii="Calibri" w:hAnsi="Calibri" w:cs="Tahoma"/>
                <w:sz w:val="24"/>
                <w:lang/>
              </w:rPr>
              <w:t>;</w:t>
            </w:r>
          </w:p>
          <w:p w:rsidR="00B7050E" w:rsidRDefault="00AF659A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с юга-востока — улицей Связи</w:t>
            </w:r>
            <w:r w:rsidR="00B7050E">
              <w:rPr>
                <w:rFonts w:ascii="Calibri" w:hAnsi="Calibri" w:cs="Tahoma"/>
                <w:sz w:val="24"/>
                <w:lang/>
              </w:rPr>
              <w:t>;</w:t>
            </w:r>
          </w:p>
          <w:p w:rsidR="00B7050E" w:rsidRDefault="00B7050E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с юга-запада — улицей </w:t>
            </w:r>
            <w:r w:rsidR="00AF659A">
              <w:rPr>
                <w:rFonts w:ascii="Calibri" w:hAnsi="Calibri" w:cs="Tahoma"/>
                <w:sz w:val="24"/>
                <w:lang/>
              </w:rPr>
              <w:t>Знаменская</w:t>
            </w:r>
            <w:r>
              <w:rPr>
                <w:rFonts w:ascii="Calibri" w:hAnsi="Calibri" w:cs="Tahoma"/>
                <w:sz w:val="24"/>
                <w:lang/>
              </w:rPr>
              <w:t>;</w:t>
            </w:r>
          </w:p>
          <w:p w:rsidR="00B7050E" w:rsidRDefault="00B7050E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с северо-запада — улицей </w:t>
            </w:r>
            <w:r w:rsidR="00AF659A">
              <w:rPr>
                <w:rFonts w:ascii="Calibri" w:hAnsi="Calibri" w:cs="Tahoma"/>
                <w:sz w:val="24"/>
                <w:lang/>
              </w:rPr>
              <w:t>Коммунаров</w:t>
            </w:r>
            <w:r>
              <w:rPr>
                <w:rFonts w:ascii="Calibri" w:hAnsi="Calibri" w:cs="Tahoma"/>
                <w:sz w:val="24"/>
                <w:lang/>
              </w:rPr>
              <w:t>.</w:t>
            </w:r>
          </w:p>
          <w:p w:rsidR="00B7050E" w:rsidRDefault="00B7050E" w:rsidP="00BC334C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vertAlign w:val="superscript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Кадастровый номер участка </w:t>
            </w:r>
            <w:r w:rsidR="00BC334C">
              <w:rPr>
                <w:rFonts w:ascii="Calibri" w:hAnsi="Calibri" w:cs="Tahoma"/>
                <w:sz w:val="24"/>
                <w:lang/>
              </w:rPr>
              <w:t>47:13:12-02-024:0054</w:t>
            </w:r>
            <w:r>
              <w:rPr>
                <w:rFonts w:ascii="Calibri" w:hAnsi="Calibri" w:cs="Tahoma"/>
                <w:sz w:val="24"/>
                <w:lang/>
              </w:rPr>
              <w:t>, площадь</w:t>
            </w:r>
            <w:r w:rsidR="00BC334C">
              <w:rPr>
                <w:rFonts w:ascii="Calibri" w:hAnsi="Calibri" w:cs="Tahoma"/>
                <w:sz w:val="24"/>
                <w:lang/>
              </w:rPr>
              <w:t xml:space="preserve"> — 3 718</w:t>
            </w:r>
            <w:r>
              <w:rPr>
                <w:rFonts w:ascii="Calibri" w:hAnsi="Calibri" w:cs="Tahoma"/>
                <w:sz w:val="24"/>
                <w:lang/>
              </w:rPr>
              <w:t xml:space="preserve"> м</w:t>
            </w:r>
            <w:proofErr w:type="gramStart"/>
            <w:r>
              <w:rPr>
                <w:rFonts w:ascii="Calibri" w:hAnsi="Calibri" w:cs="Tahoma"/>
                <w:sz w:val="24"/>
                <w:vertAlign w:val="superscript"/>
                <w:lang/>
              </w:rPr>
              <w:t>2</w:t>
            </w:r>
            <w:proofErr w:type="gramEnd"/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Элементы благоустройства:</w:t>
            </w:r>
          </w:p>
        </w:tc>
        <w:tc>
          <w:tcPr>
            <w:tcW w:w="6113" w:type="dxa"/>
          </w:tcPr>
          <w:p w:rsidR="00B7050E" w:rsidRDefault="00B7050E" w:rsidP="004E2C2F">
            <w:pPr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Территория участка благоустраивается и озеленяется. Предусмотрено </w:t>
            </w:r>
            <w:r w:rsidR="004E2C2F">
              <w:rPr>
                <w:rFonts w:ascii="Calibri" w:hAnsi="Calibri"/>
                <w:sz w:val="24"/>
              </w:rPr>
              <w:t xml:space="preserve">ограждение территории, </w:t>
            </w:r>
            <w:r>
              <w:rPr>
                <w:rFonts w:ascii="Calibri" w:hAnsi="Calibri"/>
                <w:sz w:val="24"/>
              </w:rPr>
              <w:t>устройство</w:t>
            </w:r>
            <w:r w:rsidR="004E2C2F">
              <w:rPr>
                <w:rFonts w:ascii="Calibri" w:hAnsi="Calibri"/>
                <w:sz w:val="24"/>
              </w:rPr>
              <w:t xml:space="preserve"> парковки автомобилей, </w:t>
            </w:r>
            <w:r>
              <w:rPr>
                <w:rFonts w:ascii="Calibri" w:hAnsi="Calibri"/>
                <w:sz w:val="24"/>
              </w:rPr>
              <w:t>асфальтобетонных проездов,</w:t>
            </w:r>
            <w:r w:rsidR="004E2C2F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 тротуаров из искусственных камней, набивных дорожек и площадок, устройство газонов и цветников, посадка кустарников, расстановка малых архитектурных форм.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Месторасположение объекта недвижимости и его описание:</w:t>
            </w:r>
          </w:p>
        </w:tc>
        <w:tc>
          <w:tcPr>
            <w:tcW w:w="6113" w:type="dxa"/>
          </w:tcPr>
          <w:p w:rsidR="00602A76" w:rsidRDefault="00602A76" w:rsidP="00602A76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Жилой дом со встроенными учреждениями обслуживания располагается по адресу: </w:t>
            </w:r>
          </w:p>
          <w:p w:rsidR="00602A76" w:rsidRDefault="00602A76" w:rsidP="00602A76">
            <w:pPr>
              <w:rPr>
                <w:rFonts w:ascii="Calibri" w:hAnsi="Calibri" w:cs="Arial"/>
                <w:sz w:val="24"/>
              </w:rPr>
            </w:pPr>
            <w:proofErr w:type="gramStart"/>
            <w:r>
              <w:rPr>
                <w:rFonts w:ascii="Calibri" w:hAnsi="Calibri" w:cs="Arial"/>
                <w:sz w:val="24"/>
              </w:rPr>
              <w:t>Ленинградская</w:t>
            </w:r>
            <w:proofErr w:type="gramEnd"/>
            <w:r>
              <w:rPr>
                <w:rFonts w:ascii="Calibri" w:hAnsi="Calibri" w:cs="Arial"/>
                <w:sz w:val="24"/>
              </w:rPr>
              <w:t xml:space="preserve"> обл., Тихвинский Муниципальный район, </w:t>
            </w:r>
          </w:p>
          <w:p w:rsidR="00602A76" w:rsidRDefault="00602A76" w:rsidP="00602A76">
            <w:pPr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Тихвинское городское поселение, </w:t>
            </w:r>
            <w:proofErr w:type="gramStart"/>
            <w:r>
              <w:rPr>
                <w:rFonts w:ascii="Calibri" w:hAnsi="Calibri" w:cs="Arial"/>
                <w:sz w:val="24"/>
              </w:rPr>
              <w:t>г</w:t>
            </w:r>
            <w:proofErr w:type="gramEnd"/>
            <w:r>
              <w:rPr>
                <w:rFonts w:ascii="Calibri" w:hAnsi="Calibri" w:cs="Arial"/>
                <w:sz w:val="24"/>
              </w:rPr>
              <w:t xml:space="preserve">. Тихвин, ул. Знаменская, д. 29 </w:t>
            </w:r>
          </w:p>
          <w:p w:rsidR="00602A76" w:rsidRDefault="00B7050E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Здание состоит из</w:t>
            </w:r>
            <w:r w:rsidR="00602A76">
              <w:rPr>
                <w:rFonts w:ascii="Calibri" w:hAnsi="Calibri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 xml:space="preserve">двух </w:t>
            </w:r>
            <w:r w:rsidR="00602A76">
              <w:rPr>
                <w:rFonts w:ascii="Calibri" w:hAnsi="Calibri"/>
                <w:sz w:val="24"/>
              </w:rPr>
              <w:t>секций:</w:t>
            </w:r>
          </w:p>
          <w:p w:rsidR="00602A76" w:rsidRDefault="00602A76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— 4-х этажная прямоугольная в плане жилая секция с учреждениями обслуживания на первом и цокольном этажах;</w:t>
            </w:r>
          </w:p>
          <w:p w:rsidR="00602A76" w:rsidRDefault="00602A76" w:rsidP="00602A76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— 2-х этажная прямоугольная в плане секция с учреждениями обслуживания.</w:t>
            </w:r>
          </w:p>
          <w:p w:rsidR="00B7050E" w:rsidRDefault="00B7050E" w:rsidP="00602A76">
            <w:pPr>
              <w:pStyle w:val="a6"/>
              <w:snapToGrid w:val="0"/>
              <w:ind w:right="-1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В </w:t>
            </w:r>
            <w:r w:rsidR="00602A76">
              <w:rPr>
                <w:rFonts w:ascii="Calibri" w:hAnsi="Calibri"/>
                <w:sz w:val="24"/>
              </w:rPr>
              <w:t xml:space="preserve">цокольном этаже помимо учреждений обслуживания </w:t>
            </w:r>
            <w:r>
              <w:rPr>
                <w:rFonts w:ascii="Calibri" w:hAnsi="Calibri"/>
                <w:sz w:val="24"/>
              </w:rPr>
              <w:t>запроектированы технические помещения</w:t>
            </w:r>
            <w:r w:rsidR="00602A76">
              <w:rPr>
                <w:rFonts w:ascii="Calibri" w:hAnsi="Calibri"/>
                <w:sz w:val="24"/>
              </w:rPr>
              <w:t xml:space="preserve"> и </w:t>
            </w:r>
            <w:r>
              <w:rPr>
                <w:rFonts w:ascii="Calibri" w:hAnsi="Calibri"/>
                <w:sz w:val="24"/>
              </w:rPr>
              <w:t>помещения для прохода инженерных сетей</w:t>
            </w:r>
            <w:r w:rsidR="00602A76">
              <w:rPr>
                <w:rFonts w:ascii="Calibri" w:hAnsi="Calibri"/>
                <w:sz w:val="24"/>
              </w:rPr>
              <w:t>.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 w:cs="Arial"/>
                <w:sz w:val="24"/>
              </w:rPr>
            </w:pPr>
            <w:r>
              <w:rPr>
                <w:rFonts w:ascii="Calibri" w:hAnsi="Calibri" w:cs="Arial"/>
                <w:sz w:val="24"/>
              </w:rPr>
              <w:t xml:space="preserve">Количество в составе объекта недвижимости самостоятельных частей. Описание технических </w:t>
            </w:r>
            <w:r>
              <w:rPr>
                <w:rFonts w:ascii="Calibri" w:hAnsi="Calibri" w:cs="Arial"/>
                <w:sz w:val="24"/>
              </w:rPr>
              <w:lastRenderedPageBreak/>
              <w:t>характеристик указанных самостоятельных частей в соответствии с проектной документацией.</w:t>
            </w:r>
          </w:p>
        </w:tc>
        <w:tc>
          <w:tcPr>
            <w:tcW w:w="6113" w:type="dxa"/>
          </w:tcPr>
          <w:p w:rsidR="00B7050E" w:rsidRDefault="00B7050E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Общая площадь квартир — 1</w:t>
            </w:r>
            <w:r w:rsidR="005736F7">
              <w:rPr>
                <w:rFonts w:ascii="Calibri" w:hAnsi="Calibri"/>
                <w:sz w:val="24"/>
              </w:rPr>
              <w:t> 731,66</w:t>
            </w:r>
            <w:r>
              <w:rPr>
                <w:rFonts w:ascii="Calibri" w:hAnsi="Calibri"/>
                <w:sz w:val="24"/>
              </w:rPr>
              <w:t xml:space="preserve"> кв.м.;</w:t>
            </w:r>
          </w:p>
          <w:p w:rsidR="00B7050E" w:rsidRDefault="00B7050E">
            <w:pPr>
              <w:pStyle w:val="a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Общая площадь встроенных помещений — 1 </w:t>
            </w:r>
            <w:r w:rsidR="004331D0">
              <w:rPr>
                <w:rFonts w:ascii="Calibri" w:hAnsi="Calibri"/>
                <w:sz w:val="24"/>
              </w:rPr>
              <w:t>254</w:t>
            </w:r>
            <w:r>
              <w:rPr>
                <w:rFonts w:ascii="Calibri" w:hAnsi="Calibri"/>
                <w:sz w:val="24"/>
              </w:rPr>
              <w:t>,</w:t>
            </w:r>
            <w:r w:rsidR="004331D0">
              <w:rPr>
                <w:rFonts w:ascii="Calibri" w:hAnsi="Calibri"/>
                <w:sz w:val="24"/>
              </w:rPr>
              <w:t>93</w:t>
            </w:r>
            <w:r>
              <w:rPr>
                <w:rFonts w:ascii="Calibri" w:hAnsi="Calibri"/>
                <w:sz w:val="24"/>
              </w:rPr>
              <w:t xml:space="preserve"> кв.м.</w:t>
            </w:r>
          </w:p>
          <w:p w:rsidR="00B7050E" w:rsidRDefault="00B7050E">
            <w:pPr>
              <w:pStyle w:val="a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Количество квартир — </w:t>
            </w:r>
            <w:r w:rsidR="004331D0">
              <w:rPr>
                <w:rFonts w:ascii="Calibri" w:hAnsi="Calibri"/>
                <w:sz w:val="24"/>
              </w:rPr>
              <w:t>30</w:t>
            </w:r>
            <w:r>
              <w:rPr>
                <w:rFonts w:ascii="Calibri" w:hAnsi="Calibri"/>
                <w:sz w:val="24"/>
              </w:rPr>
              <w:t>, в т.ч.:</w:t>
            </w:r>
          </w:p>
          <w:p w:rsidR="00B7050E" w:rsidRDefault="00B7050E">
            <w:pPr>
              <w:pStyle w:val="a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 xml:space="preserve">1-комнатные — </w:t>
            </w:r>
            <w:r w:rsidR="004331D0">
              <w:rPr>
                <w:rFonts w:ascii="Calibri" w:hAnsi="Calibri"/>
                <w:sz w:val="24"/>
              </w:rPr>
              <w:t>12</w:t>
            </w:r>
            <w:r>
              <w:rPr>
                <w:rFonts w:ascii="Calibri" w:hAnsi="Calibri"/>
                <w:sz w:val="24"/>
              </w:rPr>
              <w:t xml:space="preserve"> шт.,</w:t>
            </w:r>
          </w:p>
          <w:p w:rsidR="00B7050E" w:rsidRDefault="00B7050E">
            <w:pPr>
              <w:pStyle w:val="a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2-комнатные — </w:t>
            </w:r>
            <w:r w:rsidR="004331D0">
              <w:rPr>
                <w:rFonts w:ascii="Calibri" w:hAnsi="Calibri"/>
                <w:sz w:val="24"/>
              </w:rPr>
              <w:t>12</w:t>
            </w:r>
            <w:r>
              <w:rPr>
                <w:rFonts w:ascii="Calibri" w:hAnsi="Calibri"/>
                <w:sz w:val="24"/>
              </w:rPr>
              <w:t xml:space="preserve"> шт.,</w:t>
            </w:r>
          </w:p>
          <w:p w:rsidR="00B7050E" w:rsidRDefault="00B7050E">
            <w:pPr>
              <w:pStyle w:val="a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3-комнатные — </w:t>
            </w:r>
            <w:r w:rsidR="004331D0">
              <w:rPr>
                <w:rFonts w:ascii="Calibri" w:hAnsi="Calibri"/>
                <w:sz w:val="24"/>
              </w:rPr>
              <w:t>6 шт.</w:t>
            </w:r>
          </w:p>
          <w:p w:rsidR="00B7050E" w:rsidRDefault="00B7050E" w:rsidP="004331D0">
            <w:pPr>
              <w:pStyle w:val="a6"/>
              <w:jc w:val="both"/>
              <w:rPr>
                <w:rFonts w:ascii="Calibri" w:hAnsi="Calibri"/>
                <w:sz w:val="24"/>
              </w:rPr>
            </w:pP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Функциональное назначение нежилых помещений, не входящих в состав общего имущества объекта:</w:t>
            </w:r>
          </w:p>
        </w:tc>
        <w:tc>
          <w:tcPr>
            <w:tcW w:w="6113" w:type="dxa"/>
          </w:tcPr>
          <w:p w:rsidR="00B7050E" w:rsidRDefault="009E2F0E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Помещение под оздоровительный центр — 177,</w:t>
            </w:r>
            <w:r w:rsidR="000157D4">
              <w:rPr>
                <w:rFonts w:ascii="Calibri" w:hAnsi="Calibri"/>
                <w:sz w:val="24"/>
              </w:rPr>
              <w:t>09 м</w:t>
            </w:r>
            <w:proofErr w:type="gramStart"/>
            <w:r w:rsidR="000157D4">
              <w:rPr>
                <w:rFonts w:ascii="Calibri" w:hAnsi="Calibri"/>
                <w:sz w:val="24"/>
              </w:rPr>
              <w:t>2</w:t>
            </w:r>
            <w:proofErr w:type="gramEnd"/>
            <w:r w:rsidR="000157D4">
              <w:rPr>
                <w:rFonts w:ascii="Calibri" w:hAnsi="Calibri"/>
                <w:sz w:val="24"/>
              </w:rPr>
              <w:t>;</w:t>
            </w:r>
          </w:p>
          <w:p w:rsidR="000157D4" w:rsidRDefault="000157D4" w:rsidP="000157D4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Помещение под салон красоты — 156,53 м</w:t>
            </w:r>
            <w:proofErr w:type="gramStart"/>
            <w:r>
              <w:rPr>
                <w:rFonts w:ascii="Calibri" w:hAnsi="Calibri"/>
                <w:sz w:val="24"/>
              </w:rPr>
              <w:t>2</w:t>
            </w:r>
            <w:proofErr w:type="gramEnd"/>
            <w:r>
              <w:rPr>
                <w:rFonts w:ascii="Calibri" w:hAnsi="Calibri"/>
                <w:sz w:val="24"/>
              </w:rPr>
              <w:t>;</w:t>
            </w:r>
          </w:p>
          <w:p w:rsidR="000157D4" w:rsidRDefault="000157D4" w:rsidP="000157D4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Помещение под магазин — 147,64 м</w:t>
            </w:r>
            <w:proofErr w:type="gramStart"/>
            <w:r>
              <w:rPr>
                <w:rFonts w:ascii="Calibri" w:hAnsi="Calibri"/>
                <w:sz w:val="24"/>
              </w:rPr>
              <w:t>2</w:t>
            </w:r>
            <w:proofErr w:type="gramEnd"/>
            <w:r>
              <w:rPr>
                <w:rFonts w:ascii="Calibri" w:hAnsi="Calibri"/>
                <w:sz w:val="24"/>
              </w:rPr>
              <w:t>;</w:t>
            </w:r>
          </w:p>
          <w:p w:rsidR="000157D4" w:rsidRDefault="000157D4" w:rsidP="000157D4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Помещение под кафе — 263,9 м</w:t>
            </w:r>
            <w:proofErr w:type="gramStart"/>
            <w:r>
              <w:rPr>
                <w:rFonts w:ascii="Calibri" w:hAnsi="Calibri"/>
                <w:sz w:val="24"/>
              </w:rPr>
              <w:t>2</w:t>
            </w:r>
            <w:proofErr w:type="gramEnd"/>
            <w:r>
              <w:rPr>
                <w:rFonts w:ascii="Calibri" w:hAnsi="Calibri"/>
                <w:sz w:val="24"/>
              </w:rPr>
              <w:t>;</w:t>
            </w:r>
          </w:p>
          <w:p w:rsidR="00B7050E" w:rsidRDefault="00B7050E" w:rsidP="004331D0">
            <w:pPr>
              <w:pStyle w:val="a6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Офис</w:t>
            </w:r>
            <w:r w:rsidR="004331D0">
              <w:rPr>
                <w:rFonts w:ascii="Calibri" w:hAnsi="Calibri"/>
                <w:sz w:val="24"/>
              </w:rPr>
              <w:t>ные помещения</w:t>
            </w:r>
            <w:r>
              <w:rPr>
                <w:rFonts w:ascii="Calibri" w:hAnsi="Calibri"/>
                <w:sz w:val="24"/>
              </w:rPr>
              <w:t xml:space="preserve">, общей площадью — </w:t>
            </w:r>
            <w:r w:rsidR="004331D0">
              <w:rPr>
                <w:rFonts w:ascii="Calibri" w:hAnsi="Calibri"/>
                <w:sz w:val="24"/>
              </w:rPr>
              <w:t>498</w:t>
            </w:r>
            <w:r>
              <w:rPr>
                <w:rFonts w:ascii="Calibri" w:hAnsi="Calibri"/>
                <w:sz w:val="24"/>
              </w:rPr>
              <w:t>,</w:t>
            </w:r>
            <w:r w:rsidR="004331D0">
              <w:rPr>
                <w:rFonts w:ascii="Calibri" w:hAnsi="Calibri"/>
                <w:sz w:val="24"/>
              </w:rPr>
              <w:t>93</w:t>
            </w:r>
            <w:r>
              <w:rPr>
                <w:rFonts w:ascii="Calibri" w:hAnsi="Calibri"/>
                <w:sz w:val="24"/>
              </w:rPr>
              <w:t xml:space="preserve"> кв.м.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Состав общего имущества в объекте недвижимости, которое будет находиться в общей долевой собственности участников долевого строительства после получения разрешения на ввод в эксплуатацию указанных объектов недвижимости и передачи объектов долевого строительства участникам долевого строительства:</w:t>
            </w:r>
          </w:p>
        </w:tc>
        <w:tc>
          <w:tcPr>
            <w:tcW w:w="6113" w:type="dxa"/>
          </w:tcPr>
          <w:p w:rsidR="00B7050E" w:rsidRDefault="00B7050E" w:rsidP="009C5E1D">
            <w:pPr>
              <w:snapToGrid w:val="0"/>
              <w:jc w:val="both"/>
              <w:rPr>
                <w:rFonts w:ascii="Calibri" w:hAnsi="Calibri"/>
                <w:sz w:val="24"/>
              </w:rPr>
            </w:pPr>
            <w:proofErr w:type="gramStart"/>
            <w:r>
              <w:rPr>
                <w:rFonts w:ascii="Calibri" w:hAnsi="Calibri"/>
                <w:sz w:val="24"/>
              </w:rPr>
              <w:t xml:space="preserve">Межквартирные лестничные площадки, лестницы,  </w:t>
            </w:r>
            <w:r w:rsidR="006C226D">
              <w:rPr>
                <w:rFonts w:ascii="Calibri" w:hAnsi="Calibri"/>
                <w:sz w:val="24"/>
              </w:rPr>
              <w:t>вентиляционные</w:t>
            </w:r>
            <w:r>
              <w:rPr>
                <w:rFonts w:ascii="Calibri" w:hAnsi="Calibri"/>
                <w:sz w:val="24"/>
              </w:rPr>
              <w:t xml:space="preserve"> шахты, коридоры, технические </w:t>
            </w:r>
            <w:r w:rsidR="006C226D">
              <w:rPr>
                <w:rFonts w:ascii="Calibri" w:hAnsi="Calibri"/>
                <w:sz w:val="24"/>
              </w:rPr>
              <w:t>помещения</w:t>
            </w:r>
            <w:r>
              <w:rPr>
                <w:rFonts w:ascii="Calibri" w:hAnsi="Calibri"/>
                <w:sz w:val="24"/>
              </w:rPr>
              <w:t>, чердаки, подвалы, в которых имеются инженерные коммуникации</w:t>
            </w:r>
            <w:r w:rsidR="009C5E1D">
              <w:rPr>
                <w:rFonts w:ascii="Calibri" w:hAnsi="Calibri"/>
                <w:sz w:val="24"/>
              </w:rPr>
              <w:t xml:space="preserve"> и </w:t>
            </w:r>
            <w:r>
              <w:rPr>
                <w:rFonts w:ascii="Calibri" w:hAnsi="Calibri"/>
                <w:sz w:val="24"/>
              </w:rPr>
              <w:t>иное обслуживающее более одного помещения оборудование, а также крыши, ограждающие несущие и ненесущие конструкции данного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помещения.</w:t>
            </w:r>
            <w:proofErr w:type="gramEnd"/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Предполагаемый срок получения разрешения на ввод в эксплуатацию объекта недвижимости:</w:t>
            </w:r>
          </w:p>
        </w:tc>
        <w:tc>
          <w:tcPr>
            <w:tcW w:w="6113" w:type="dxa"/>
          </w:tcPr>
          <w:p w:rsidR="00B7050E" w:rsidRDefault="00B7050E" w:rsidP="001B2019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  <w:lang w:val="en-US"/>
              </w:rPr>
              <w:t xml:space="preserve">IV </w:t>
            </w:r>
            <w:r>
              <w:rPr>
                <w:rFonts w:ascii="Calibri" w:hAnsi="Calibri"/>
                <w:sz w:val="24"/>
              </w:rPr>
              <w:t>квартал 201</w:t>
            </w:r>
            <w:r w:rsidR="001B2019">
              <w:rPr>
                <w:rFonts w:ascii="Calibri" w:hAnsi="Calibri"/>
                <w:sz w:val="24"/>
              </w:rPr>
              <w:t>4</w:t>
            </w:r>
            <w:r>
              <w:rPr>
                <w:rFonts w:ascii="Calibri" w:hAnsi="Calibri"/>
                <w:sz w:val="24"/>
              </w:rPr>
              <w:t xml:space="preserve"> года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Орган, уполномоченный в соответствии с законодательством о градостроительной деятельности на выдачу разрешения на ввод объекта недвижимости в эксплуатацию:</w:t>
            </w:r>
          </w:p>
        </w:tc>
        <w:tc>
          <w:tcPr>
            <w:tcW w:w="6113" w:type="dxa"/>
          </w:tcPr>
          <w:p w:rsidR="00D82136" w:rsidRDefault="00D82136" w:rsidP="00D82136">
            <w:pPr>
              <w:pStyle w:val="a6"/>
              <w:snapToGrid w:val="0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Администрация муниципального образования «Тихвинское городское поселение Тихвинского муниципального района Ленинградской области» </w:t>
            </w:r>
          </w:p>
          <w:p w:rsidR="00B7050E" w:rsidRDefault="00B7050E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Возможные финансовые и прочие риски при осуществлении проекта строительства и меры по добровольному страхованию застройщиком таких рисков:</w:t>
            </w:r>
          </w:p>
        </w:tc>
        <w:tc>
          <w:tcPr>
            <w:tcW w:w="6113" w:type="dxa"/>
          </w:tcPr>
          <w:p w:rsidR="00B7050E" w:rsidRDefault="006017C4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По мнению </w:t>
            </w:r>
            <w:r w:rsidR="00AE7851">
              <w:rPr>
                <w:rFonts w:ascii="Calibri" w:hAnsi="Calibri"/>
                <w:sz w:val="24"/>
              </w:rPr>
              <w:t>застройщика,</w:t>
            </w:r>
            <w:r>
              <w:rPr>
                <w:rFonts w:ascii="Calibri" w:hAnsi="Calibri"/>
                <w:sz w:val="24"/>
              </w:rPr>
              <w:t xml:space="preserve"> подобные риски отсутствуют.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Планируемая стоимость строительства (создания) объекта недвижимости:</w:t>
            </w:r>
          </w:p>
        </w:tc>
        <w:tc>
          <w:tcPr>
            <w:tcW w:w="6113" w:type="dxa"/>
          </w:tcPr>
          <w:p w:rsidR="00B7050E" w:rsidRDefault="00791DD9" w:rsidP="00981869">
            <w:pPr>
              <w:pStyle w:val="a6"/>
              <w:snapToGrid w:val="0"/>
              <w:jc w:val="both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90</w:t>
            </w:r>
            <w:r w:rsidR="00981869">
              <w:rPr>
                <w:rFonts w:ascii="Calibri" w:hAnsi="Calibri"/>
                <w:sz w:val="24"/>
              </w:rPr>
              <w:t xml:space="preserve"> млн</w:t>
            </w:r>
            <w:r w:rsidR="00B7050E">
              <w:rPr>
                <w:rFonts w:ascii="Calibri" w:hAnsi="Calibri"/>
                <w:sz w:val="24"/>
              </w:rPr>
              <w:t>. руб.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Перечень организаций, осуществляющих основные строительно-монтажные и другие работы (подрядчиков):</w:t>
            </w:r>
          </w:p>
        </w:tc>
        <w:tc>
          <w:tcPr>
            <w:tcW w:w="6113" w:type="dxa"/>
          </w:tcPr>
          <w:p w:rsidR="00B7050E" w:rsidRDefault="00B7050E">
            <w:pPr>
              <w:pStyle w:val="a6"/>
              <w:snapToGrid w:val="0"/>
              <w:jc w:val="both"/>
            </w:pPr>
            <w:r>
              <w:rPr>
                <w:rFonts w:ascii="Calibri" w:hAnsi="Calibri"/>
                <w:sz w:val="24"/>
              </w:rPr>
              <w:t>ООО «</w:t>
            </w:r>
            <w:r w:rsidR="0087078A">
              <w:rPr>
                <w:rFonts w:ascii="Calibri" w:hAnsi="Calibri"/>
                <w:sz w:val="24"/>
              </w:rPr>
              <w:t>ГК СТАНДАРТ</w:t>
            </w:r>
            <w:r>
              <w:rPr>
                <w:rFonts w:ascii="Calibri" w:hAnsi="Calibri"/>
                <w:sz w:val="24"/>
              </w:rPr>
              <w:t>»</w:t>
            </w:r>
            <w:r w:rsidR="0087078A">
              <w:rPr>
                <w:rFonts w:ascii="Calibri" w:hAnsi="Calibri"/>
                <w:sz w:val="24"/>
              </w:rPr>
              <w:t xml:space="preserve"> — технический заказчик</w:t>
            </w:r>
            <w:r>
              <w:t>,</w:t>
            </w:r>
          </w:p>
          <w:p w:rsidR="00B7050E" w:rsidRDefault="00B30D7F" w:rsidP="004B2292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>ООО «</w:t>
            </w:r>
            <w:proofErr w:type="spellStart"/>
            <w:r w:rsidR="00F855ED">
              <w:rPr>
                <w:rFonts w:ascii="Calibri" w:hAnsi="Calibri" w:cs="Tahoma"/>
                <w:sz w:val="24"/>
                <w:lang/>
              </w:rPr>
              <w:t>Леноб</w:t>
            </w:r>
            <w:r w:rsidR="004B2292">
              <w:rPr>
                <w:rFonts w:ascii="Calibri" w:hAnsi="Calibri" w:cs="Tahoma"/>
                <w:sz w:val="24"/>
                <w:lang/>
              </w:rPr>
              <w:t>л</w:t>
            </w:r>
            <w:r w:rsidR="000F2B3B">
              <w:rPr>
                <w:rFonts w:ascii="Calibri" w:hAnsi="Calibri" w:cs="Tahoma"/>
                <w:sz w:val="24"/>
                <w:lang/>
              </w:rPr>
              <w:t>строй</w:t>
            </w:r>
            <w:r w:rsidR="00F855ED">
              <w:rPr>
                <w:rFonts w:ascii="Calibri" w:hAnsi="Calibri" w:cs="Tahoma"/>
                <w:sz w:val="24"/>
                <w:lang/>
              </w:rPr>
              <w:t>проект</w:t>
            </w:r>
            <w:proofErr w:type="spellEnd"/>
            <w:r>
              <w:rPr>
                <w:rFonts w:ascii="Calibri" w:hAnsi="Calibri" w:cs="Tahoma"/>
                <w:sz w:val="24"/>
                <w:lang/>
              </w:rPr>
              <w:t>»</w:t>
            </w:r>
            <w:r w:rsidR="0087078A">
              <w:rPr>
                <w:rFonts w:ascii="Calibri" w:hAnsi="Calibri"/>
                <w:sz w:val="24"/>
              </w:rPr>
              <w:t xml:space="preserve"> </w:t>
            </w:r>
            <w:proofErr w:type="gramStart"/>
            <w:r w:rsidR="0087078A">
              <w:rPr>
                <w:rFonts w:ascii="Calibri" w:hAnsi="Calibri"/>
                <w:sz w:val="24"/>
              </w:rPr>
              <w:t>—п</w:t>
            </w:r>
            <w:proofErr w:type="gramEnd"/>
            <w:r w:rsidR="0087078A">
              <w:rPr>
                <w:rFonts w:ascii="Calibri" w:hAnsi="Calibri"/>
                <w:sz w:val="24"/>
              </w:rPr>
              <w:t>рое</w:t>
            </w:r>
            <w:r w:rsidR="00B7050E">
              <w:rPr>
                <w:rFonts w:ascii="Calibri" w:hAnsi="Calibri" w:cs="Tahoma"/>
                <w:sz w:val="24"/>
                <w:lang/>
              </w:rPr>
              <w:t>ктировщик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Способ обеспечения исполнения обязательств застройщика по договору:</w:t>
            </w:r>
          </w:p>
        </w:tc>
        <w:tc>
          <w:tcPr>
            <w:tcW w:w="6113" w:type="dxa"/>
          </w:tcPr>
          <w:p w:rsidR="00B7050E" w:rsidRDefault="00B7050E">
            <w:pPr>
              <w:pStyle w:val="a6"/>
              <w:snapToGrid w:val="0"/>
              <w:jc w:val="both"/>
              <w:rPr>
                <w:rFonts w:ascii="Calibri" w:hAnsi="Calibri" w:cs="Tahoma"/>
                <w:sz w:val="24"/>
                <w:lang/>
              </w:rPr>
            </w:pPr>
            <w:r>
              <w:rPr>
                <w:rFonts w:ascii="Calibri" w:hAnsi="Calibri" w:cs="Tahoma"/>
                <w:sz w:val="24"/>
                <w:lang/>
              </w:rPr>
              <w:t xml:space="preserve">Залог в порядке, предусмотренном Федеральным законом № 214 от 30.12.04 «Об участии в </w:t>
            </w:r>
            <w:bookmarkStart w:id="0" w:name="C1"/>
            <w:bookmarkEnd w:id="0"/>
            <w:r>
              <w:rPr>
                <w:rFonts w:ascii="Calibri" w:hAnsi="Calibri" w:cs="Tahoma"/>
                <w:sz w:val="24"/>
                <w:lang/>
              </w:rPr>
              <w:t>долевом</w:t>
            </w:r>
            <w:bookmarkStart w:id="1" w:name="C2"/>
            <w:bookmarkEnd w:id="1"/>
            <w:r>
              <w:rPr>
                <w:rFonts w:ascii="Calibri" w:hAnsi="Calibri" w:cs="Tahoma"/>
                <w:sz w:val="24"/>
                <w:lang/>
              </w:rPr>
              <w:t xml:space="preserve"> строительстве многоквартирных домов и иных объектов </w:t>
            </w:r>
            <w:r>
              <w:rPr>
                <w:rFonts w:ascii="Calibri" w:hAnsi="Calibri" w:cs="Tahoma"/>
                <w:sz w:val="24"/>
                <w:lang/>
              </w:rPr>
              <w:lastRenderedPageBreak/>
              <w:t>недвижимости и о внесении изменений в некоторые законодательные акты Российской Федерации»</w:t>
            </w:r>
          </w:p>
        </w:tc>
      </w:tr>
      <w:tr w:rsidR="00B7050E" w:rsidTr="002B6D58">
        <w:tc>
          <w:tcPr>
            <w:tcW w:w="3570" w:type="dxa"/>
          </w:tcPr>
          <w:p w:rsidR="00B7050E" w:rsidRDefault="00B7050E">
            <w:pPr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lastRenderedPageBreak/>
              <w:t>Иные договоры и сделки, на основании которых привлекаются денежные средства для строительства (создания) объекта недвижимости, за исключением привлечения денежных средств на основании договоров:</w:t>
            </w:r>
          </w:p>
        </w:tc>
        <w:tc>
          <w:tcPr>
            <w:tcW w:w="6113" w:type="dxa"/>
          </w:tcPr>
          <w:p w:rsidR="00B7050E" w:rsidRDefault="0087078A">
            <w:pPr>
              <w:pStyle w:val="a6"/>
              <w:snapToGrid w:val="0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Отсутствуют.</w:t>
            </w:r>
          </w:p>
        </w:tc>
      </w:tr>
    </w:tbl>
    <w:p w:rsidR="00B7050E" w:rsidRDefault="00B7050E"/>
    <w:p w:rsidR="0087078A" w:rsidRDefault="0087078A">
      <w:pPr>
        <w:rPr>
          <w:rFonts w:ascii="Calibri" w:hAnsi="Calibri"/>
          <w:sz w:val="24"/>
        </w:rPr>
      </w:pPr>
    </w:p>
    <w:p w:rsidR="00887DDA" w:rsidRDefault="00887DDA" w:rsidP="00662FF4">
      <w:pPr>
        <w:ind w:firstLine="709"/>
        <w:rPr>
          <w:rFonts w:ascii="Calibri" w:hAnsi="Calibri"/>
          <w:sz w:val="24"/>
        </w:rPr>
      </w:pPr>
    </w:p>
    <w:p w:rsidR="00B7050E" w:rsidRDefault="0038294D" w:rsidP="00662FF4">
      <w:pPr>
        <w:ind w:firstLine="70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Д</w:t>
      </w:r>
      <w:r w:rsidR="00B7050E">
        <w:rPr>
          <w:rFonts w:ascii="Calibri" w:hAnsi="Calibri"/>
          <w:sz w:val="24"/>
        </w:rPr>
        <w:t>иректор</w:t>
      </w:r>
    </w:p>
    <w:p w:rsidR="00662FF4" w:rsidRDefault="0087078A" w:rsidP="00662FF4">
      <w:pPr>
        <w:ind w:firstLine="709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ОО</w:t>
      </w:r>
      <w:r w:rsidR="00B7050E">
        <w:rPr>
          <w:rFonts w:ascii="Calibri" w:hAnsi="Calibri"/>
          <w:sz w:val="24"/>
        </w:rPr>
        <w:t>О «</w:t>
      </w:r>
      <w:r>
        <w:rPr>
          <w:rFonts w:ascii="Calibri" w:hAnsi="Calibri"/>
          <w:sz w:val="24"/>
        </w:rPr>
        <w:t>СУ</w:t>
      </w:r>
      <w:r w:rsidR="00887DDA">
        <w:rPr>
          <w:rFonts w:ascii="Calibri" w:hAnsi="Calibri"/>
          <w:sz w:val="24"/>
        </w:rPr>
        <w:t xml:space="preserve"> «</w:t>
      </w:r>
      <w:proofErr w:type="spellStart"/>
      <w:r w:rsidR="00887DDA">
        <w:rPr>
          <w:rFonts w:ascii="Calibri" w:hAnsi="Calibri"/>
          <w:sz w:val="24"/>
        </w:rPr>
        <w:t>Леноблстрой-Т</w:t>
      </w:r>
      <w:proofErr w:type="spellEnd"/>
      <w:r w:rsidR="00887DDA">
        <w:rPr>
          <w:rFonts w:ascii="Calibri" w:hAnsi="Calibri"/>
          <w:sz w:val="24"/>
        </w:rPr>
        <w:t>»</w:t>
      </w:r>
      <w:r>
        <w:rPr>
          <w:rFonts w:ascii="Calibri" w:hAnsi="Calibri"/>
          <w:sz w:val="24"/>
        </w:rPr>
        <w:t xml:space="preserve"> </w:t>
      </w:r>
      <w:r w:rsidR="00662FF4">
        <w:rPr>
          <w:rFonts w:ascii="Calibri" w:hAnsi="Calibri"/>
          <w:sz w:val="24"/>
        </w:rPr>
        <w:tab/>
      </w:r>
      <w:r w:rsidR="00662FF4">
        <w:rPr>
          <w:rFonts w:ascii="Calibri" w:hAnsi="Calibri"/>
          <w:sz w:val="24"/>
        </w:rPr>
        <w:tab/>
      </w:r>
      <w:r w:rsidR="00662FF4">
        <w:rPr>
          <w:rFonts w:ascii="Calibri" w:hAnsi="Calibri"/>
          <w:sz w:val="24"/>
        </w:rPr>
        <w:tab/>
      </w:r>
      <w:r w:rsidR="00662FF4">
        <w:rPr>
          <w:rFonts w:ascii="Calibri" w:hAnsi="Calibri"/>
          <w:sz w:val="24"/>
        </w:rPr>
        <w:tab/>
      </w:r>
      <w:r w:rsidR="00662FF4">
        <w:rPr>
          <w:rFonts w:ascii="Calibri" w:hAnsi="Calibri"/>
          <w:sz w:val="24"/>
        </w:rPr>
        <w:tab/>
      </w:r>
      <w:r w:rsidR="00662FF4">
        <w:rPr>
          <w:rFonts w:ascii="Calibri" w:hAnsi="Calibri"/>
          <w:sz w:val="24"/>
        </w:rPr>
        <w:tab/>
        <w:t>С.В. Коротков</w:t>
      </w:r>
    </w:p>
    <w:sectPr w:rsidR="00662FF4">
      <w:pgSz w:w="11905" w:h="16837"/>
      <w:pgMar w:top="555" w:right="1134" w:bottom="1132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737C0"/>
    <w:rsid w:val="000157D4"/>
    <w:rsid w:val="000B6281"/>
    <w:rsid w:val="000F2B3B"/>
    <w:rsid w:val="00164CBB"/>
    <w:rsid w:val="001A35DF"/>
    <w:rsid w:val="001B2019"/>
    <w:rsid w:val="0023013D"/>
    <w:rsid w:val="002B6D58"/>
    <w:rsid w:val="00375AC9"/>
    <w:rsid w:val="0038294D"/>
    <w:rsid w:val="00400E1E"/>
    <w:rsid w:val="004030E4"/>
    <w:rsid w:val="004331D0"/>
    <w:rsid w:val="00436238"/>
    <w:rsid w:val="004737C0"/>
    <w:rsid w:val="004B2292"/>
    <w:rsid w:val="004E2C2F"/>
    <w:rsid w:val="00500618"/>
    <w:rsid w:val="005736F7"/>
    <w:rsid w:val="005856F1"/>
    <w:rsid w:val="00595216"/>
    <w:rsid w:val="005E428C"/>
    <w:rsid w:val="006017C4"/>
    <w:rsid w:val="00602A76"/>
    <w:rsid w:val="00662FF4"/>
    <w:rsid w:val="006B002C"/>
    <w:rsid w:val="006C226D"/>
    <w:rsid w:val="006F489A"/>
    <w:rsid w:val="006F4DF1"/>
    <w:rsid w:val="007473F9"/>
    <w:rsid w:val="00791DD9"/>
    <w:rsid w:val="008165E7"/>
    <w:rsid w:val="0087078A"/>
    <w:rsid w:val="00880A37"/>
    <w:rsid w:val="00887DDA"/>
    <w:rsid w:val="00981869"/>
    <w:rsid w:val="009C5E1D"/>
    <w:rsid w:val="009E2F0E"/>
    <w:rsid w:val="00A95C74"/>
    <w:rsid w:val="00AA6314"/>
    <w:rsid w:val="00AB45DC"/>
    <w:rsid w:val="00AB5DB3"/>
    <w:rsid w:val="00AE7851"/>
    <w:rsid w:val="00AF659A"/>
    <w:rsid w:val="00B30D7F"/>
    <w:rsid w:val="00B7050E"/>
    <w:rsid w:val="00BC334C"/>
    <w:rsid w:val="00C520E4"/>
    <w:rsid w:val="00D82136"/>
    <w:rsid w:val="00DB64C0"/>
    <w:rsid w:val="00E51749"/>
    <w:rsid w:val="00E9732C"/>
    <w:rsid w:val="00F855ED"/>
    <w:rsid w:val="00FA32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</w:pPr>
    <w:rPr>
      <w:rFonts w:ascii="Arial" w:eastAsia="Lucida Sans Unicode" w:hAnsi="Arial"/>
      <w:kern w:val="1"/>
      <w:szCs w:val="24"/>
      <w:lang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sz w:val="20"/>
      <w:szCs w:val="20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4z0">
    <w:name w:val="WW8Num4z0"/>
    <w:rPr>
      <w:sz w:val="20"/>
      <w:szCs w:val="20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Symbol" w:hAnsi="Symbol"/>
      <w:color w:val="auto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eastAsia="MS Mincho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cs="Tahoma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Tahoma"/>
    </w:rPr>
  </w:style>
  <w:style w:type="paragraph" w:customStyle="1" w:styleId="a6">
    <w:name w:val="Содержимое таблицы"/>
    <w:basedOn w:val="a"/>
    <w:pPr>
      <w:suppressLineNumbers/>
    </w:pPr>
  </w:style>
  <w:style w:type="paragraph" w:customStyle="1" w:styleId="a7">
    <w:name w:val="Заголовок таблицы"/>
    <w:basedOn w:val="a6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1047</Words>
  <Characters>5974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Paradise</dc:creator>
  <cp:lastModifiedBy>ШуКс</cp:lastModifiedBy>
  <cp:revision>3</cp:revision>
  <cp:lastPrinted>2014-01-14T08:08:00Z</cp:lastPrinted>
  <dcterms:created xsi:type="dcterms:W3CDTF">2014-01-15T22:06:00Z</dcterms:created>
  <dcterms:modified xsi:type="dcterms:W3CDTF">2014-01-15T22:06:00Z</dcterms:modified>
</cp:coreProperties>
</file>