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ПРОЕКТНАЯ  ДЕКЛАРАЦИЯ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на  строительство комплекса  многоквартирных  жилых  домов  по   адресу: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Санкт-Петербург, Пушкинский  район, пос.Шушары, Детскосельский, Центральная  улица, участок 23, корпуса  №№ 8, 9, 10, 11, 12.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«30» августа  2011года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1.ИНФОРМАЦИЯ  О  ЗАСТРОЙЩИКЕ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1.1.Фирменное  наименование  Застройщика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: ЗАО « Комбинат строительных металлоизделий».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Место  нахождения  застройщика: 192148, Санкт-Петербург, ул. Крупской, 55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1.2.Информация   о  государственной регистрации  Застройщика: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ИНН 7811400757, зарегистрированный Межрайонной инспекцией Федеральной налоговой службы № 15 по Санкт-Петербургу 12.03.2008 года.   Свидетельство  о  государственной  регистрации серия 78 № 006791549 от 12.03.2008г.,Свидетельство  о  постановке на  учёт в Межрайонной  инспеккции Федеральной  налоговой  службы №24 по  Санкт-Петербургу, серия 78№006791550 от 12.03.2008г., , свидетельство  о  внесении  записи в  Единый  государственный  реестр  юридических лиц, зарегистрированном Межрайонной  инспекцией  Министерства  РФ по  налогам  и  сборам №24 по  Санкт – Петербургу,  серия 78 № 007775185 от 01.07.2010 г., за  основным  государственным  регистрационным  номером  1089847098967 от 01.07.2010г.</w:t>
      </w: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,</w:t>
      </w:r>
      <w:r w:rsidRPr="004A7F29">
        <w:rPr>
          <w:rStyle w:val="apple-converted-space"/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</w:rPr>
        <w:t> 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Устав (новая  редакция), зарегистрированный  Межрайонной  инспекцией  Федерации налоговой  службы №15 по  Санкт-Петербургу, свидетельство  о  внесении  записи  в  Единый  государственный  реестр  юридических  лиц  серия 78 №007775185 от  01.07.2010г.,за  основным  государственным  регистрационным  номером 1089847098967.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1.3.Информация  об  учредителях  Застройщика: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100 % физические лица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1.4.Информация  о  проектах  строительства  объектов  недвижимости, в которых  принимал  участие  Застройщик: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 Санкт-Петербург, Строительство сети торговых центров «Белорусский гостинец» (объекты сданы)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Нижний Кисляр, Воронежская обл., Строительство агропромышленного комплекса  с инженерными сетями.(сдан)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 Ленобласть, Тосненский район, Строительство агропромышленного комплекса с инженерными сетями..(сдан)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  Витебская область, Гродненский район, г. Вировля, Строительство агропромышленного комплекса  с  объектами инженерной  инфраструктуры.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  Ленобласть, п.Тельмана,  Комплекс складов и хранилищ.(сдан)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 Санкт-Петербург, пос.Шушары, Детскосельский, ул.Центральная,д.12,10-этажный, 144- квартирный  жилой дом (дом сдан)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 Санкт-Петербург, пос.Шушары, Детскосельский, Колпинское  шоссе, д.65,5-этажный, 80-квартирыный жилой дом (дом сдан)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1.5.Информация  о  виде  лицензируемой  деятельности, номера  лицензии, срока  её  действия,  об  органе, выдавшем  эту  лицензию:  Свидетельство о допуске к</w:t>
      </w:r>
      <w:r w:rsidRPr="004A7F29">
        <w:rPr>
          <w:rStyle w:val="apple-converted-space"/>
          <w:rFonts w:ascii="Arial" w:hAnsi="Arial" w:cs="Arial"/>
          <w:color w:val="000000" w:themeColor="text1"/>
          <w:sz w:val="18"/>
          <w:szCs w:val="18"/>
        </w:rPr>
        <w:t> 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работам по строительству, реконструкции, капитальному ремонту объектов капитального строительства, которые оказывают влияние на безопасность строительства № -  Санкт-Петербург,пос.Шушары, Детскосельский, Колпинское  шоссе, д.73,5-этажный, 115-квартирный  жилой дом (дом сдан)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  Санкт-Петербург,пос.Шушары, Детскосельский, Колпинское  шоссе, д.73,5-этажный, 115-квартирный  жилой дом (дом сдан)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lastRenderedPageBreak/>
        <w:t>0498.02-2010-7811400757-С-071 от 15.12.2010 г., выдано СРО НП «Управление строительными предприятиями Петербурга»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1.6.Информация  о  финансовом  результате  текущего  года, размере  кредиторской  задолженности  на  день  опубликования   проектной  декларации: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Прибыль по  итогам  текущего  года  на  01.08..2011.г. составляет  -  178000 рублей.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Кредиторская  задолженность – 316000 рублей.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2.ИНФОРМАЦИЯ  О  ПРОЕКТЕ  СТРОИТЕЛЬСТВА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 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2.1.Информация  о  цели  проекта  строительства, об  этапах  и  сроках  реализации, о результатах  проведения  государственной  экспертизы  проектной  документации: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Целью  проекта является  строительство  жилого  комплекса состоящего  из двенадцати   жилых  домов. Реализация  проекта  будет  осуществляться в  две очереди: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Первая  очередь  состоит  из  пяти  жилых  домов, площадь  земельного  участка – 40741,0кв.м., строительство  будет осуществляться  поэтапно: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10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,  площадь  застройки – 1349,49 кв.м., общая площадь  дома – 9928,4 кв.м. общая  площадь  квартир – 8 164,5 кв.м., строительный  объем – 39 760,0 куб.м., количество  квартир – 144, этажность – 9 этажей, подвал.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Окончание  строительства – 2 кв. 2011года.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8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,  площадь  застройки – 1350.37 кв.м.,  общая площадь  дома – 9110,6 кв.м. общая  площадь  квартир – 7473,6 кв.м., строительный  объем – 36761,0 куб.м., количество  квартир – 132, этажность –7-8-9 этажей, подвал.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Окончание  строительства – 3 кв. 2012года.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.</w:t>
      </w: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9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,  площадь  застройки – 1349,36 кв.м., общая площадь  дома – 9098,5 кв.м. общая  площадь  квартир – 7461,5 кв.м., строительный  объем – 36733,5куб.м., количество  квартир – 132, этажность –7-8-9 этажей, подвал.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Окончание строительства 1 кв 2013 года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11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,  площадь  застройки – 1368,18кв.м., общая площадь  дома – 10249,2кв.м. общая  площадь  квартир – 8387,9кв.м., строительный  объем – 40815,6куб.м., количество  квартир – 178, этажность – 9 этажей, подвал.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Окончание  строительства – 3  кв. 2013 года.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12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,  площадь  застройки – 2421,98 кв.м., общая площадь  дома – 17908,0кв.м. общая  площадь  квартир – 14431,1кв.м., строительный  объем – 73934,6 куб.м., количество  квартир – 288, этажность – 9 этажей, подвал.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Окончание  строительства – 4 кв. 2013года.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Положительное  заключение  управления  государственной экспертизы от 28.09.2009г.  № 393-1-2009.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2.2.Информация  о  разрешении  на  строительство: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Разрешение  на  строительство службы  государственного строительного  надзора и  экспертизы  Санкт-Петербурга № 78-16004121-2009 от 15.08.2011 г., № 78-16004121-2009 от 15.07.2011 г., №78-16004821-2009 от 15.06.2011 г., № 78-16004921 от 15.08.2011 г., 78-16005021-2009 от 15.08.2011 г.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2.3.Информация  о  правах  застройщика  на  земельный  участок, о  собственнике  земельного  участка, о границах  и  площади  земельного  участка, об  элементах  благоустройства:  </w:t>
      </w:r>
      <w:r w:rsidRPr="004A7F29">
        <w:rPr>
          <w:rStyle w:val="apple-converted-space"/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</w:rPr>
        <w:t> 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договор аренды № 23 от 15.08.2011 г.с СПК «Племзавод Детскосельский».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Границы  земельного  участка  в соответствии с кадастровым планом собственника земельного участка СПК «Племзавод Детскосельский».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lastRenderedPageBreak/>
        <w:t>Планируемые  элементы  благоустройства: детские  игровые  площадки, площадки  отдыха для  взрослых, спортивные площадки, газоны  с  посадками  деревьев.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2.4.Информация  о  местоположении  строящихся  жилых  домов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.Комплекс  жилых  домов расположен  на  территории, ограниченной Колпинским  шоссе, дорогой №1 Детскосельский, ул.Центральной. участок 23.  в  Пушкинском  районе Санкт-Петербурга.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2.5.Количество  в  составе  жилого  дома  самостоятельных  частей и  описание  их  технических  характеристик: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I-я очередь  строительства: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№ 10.</w:t>
      </w:r>
      <w:r w:rsidRPr="004A7F29">
        <w:rPr>
          <w:rStyle w:val="apple-converted-space"/>
          <w:rFonts w:ascii="Arial" w:hAnsi="Arial" w:cs="Arial"/>
          <w:color w:val="000000" w:themeColor="text1"/>
          <w:sz w:val="18"/>
          <w:szCs w:val="18"/>
        </w:rPr>
        <w:t> 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, 9-и  этажный   жилой  дом на  144 квартиры, в  том  числе однокомнатных -72,  двухкомнатных-36, трёхкомнатных-36. Общая  площадь  квартир – 8164,5кв.м.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Жилой  дом  представляет  собой  9-этажное   4-х секционное здание из конструкций 211 КЖБИ серии «Контакт СП». На 1-9 этажах  размещаются  144 квартиры, в  подвале – тепловой  пункт, технические  помещения  для  разводки  коммуникаций. В  доме  в  каждом  подъезде имеется  лифт, на  первом  этаже  электрощитовые  и на  каждом  этаже  сушилки. Все  квартиры  имеют  нормативную  инсоляцию и  освещённость, обеспечены балконами.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8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, 7-8-9-и  этажный   жилой  дом на  132 квартиры, в  том  числе однокомнатных -66,  двухкомнатных-33,трёхкомнатных-33. Общая  площадь  квартир – 7473,6кв.м.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Жилой  дом  представляет  собой 7-8-9-этажное   4-х секционное здание из изделий 211 КЖБИ серии «Контакт СП». На 1-9 этажах  размещаются  132 квартиры, в  подвале – тепловой  пункт, технические  помещения  для  разводки  коммуникаций. В  доме  в  каждом  подъезде имеется  лифт, на  первом  этаже  электрощитовые  и на  каждом  этаже  сушилки. Все  квартиры  имеют  нормативную  инсоляцию и  освещённость, обеспечены балконами.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9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, 7-8-9-и  этажный   жилой  дом на  132 квартиры, в  том  числе однокомнатных -66, двухкомнатных-33, трёхкомнатных-33. Общая  площадь  квартир – 7461,5кв. Жилой  дом  представляет  собой 7-8-9-этажное   4-х секционное здание из конструкций 211 КЖБИ серии «Контакт СП».  На 1-9 этажах  размещаются  132 квартиры, в  подвале – тепловой  пункт, технические  помещения  для  разводки  коммуникаций. В  доме  в  каждом  подъезде имеется  лифт, на  первом  этаже  электрощитовые  и на  каждом  этаже  сушилки. Все  квартиры  имеют  нормативную  инсоляцию и  освещённость, обеспечены балконами.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11 </w:t>
      </w:r>
      <w:r w:rsidRPr="004A7F29">
        <w:rPr>
          <w:rStyle w:val="apple-converted-space"/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</w:rPr>
        <w:t> 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9-и  этажный   жилой  дом на  178 квартир, в  том  числе однокомнатных -140, двухкомнатных-36, трёхкомнатных-2. Общая  площадь  квартир – 8387,9кв.м.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.Жилой  дом  представляет  собой 9-этажное   4-х секционное монолитно-кирпичное  здание. На 1-9 этажах  размещаются  178 квартир, в  подвале – тепловой  пункт, технические  помещения  для  разводки  коммуникаций. В  доме  в  каждом  подъезде имеется  лифт, на  первом  этаже  электрощитовые  и на  каждом  этаже  сушилки. Все  квартиры  имеют  нормативную  инсоляцию и  освещённость, обеспечены балконами.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12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. 9-и  этажный   жилой  дом на  288 квартир, в  том  числе однокомнатных -181, двухкомнатных-98, трёхкомнатных-9. Общая  площадь  квартир – 14431,1кв.м.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Жилой  дом  представляет  собой  9-этажное   8-и секционное монолитно-кирпичное  здание. На 1-9 этажах  размещаются  288 квартир, в  подвале – тепловые  пункты, технические  помещения  для  разводки  коммуникаций. В  доме  в  каждом  подъезде имеется  лифт, на  первом  этаже  электрощитовые  и   диспетчерский  лифтовой  пункт. Все  квартиры  имеют  нормативную  инсоляцию и  освещённость, обеспечены балконами и  лоджиями.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2.6.Состав  общего  имущества в  жилых  домах, которое  будет  находится в  общей  долевой  собственности  участников  долевого  строительства: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-Подвал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lastRenderedPageBreak/>
        <w:t>-Тепловой  пункт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-Электрощитовые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-Сушилки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-Межквартирные  коридоры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-Лестничные  клетки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-Входные  двери  подъездов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-Внутридомовые  инженерные  сети водопровода, канализации, электроснабжения, теплоснабжения, телефонизации, телевидения  и  радио, антенны.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2.7.Предполагаемый  срок  завершения   строительства и  срок  получения  разрешения  на  ввод  в эксплуатацию строящихся  жилых  домов: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10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, Окончание  строительства – 2 кв. 2012года. Срок получения  разрешения на  ввод  объекта  в  эксплуатацию -  2 квартал  2012года.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8.      </w:t>
      </w:r>
      <w:r w:rsidRPr="004A7F29">
        <w:rPr>
          <w:rStyle w:val="apple-converted-space"/>
          <w:rFonts w:ascii="Arial" w:hAnsi="Arial" w:cs="Arial"/>
          <w:b/>
          <w:bCs/>
          <w:color w:val="000000" w:themeColor="text1"/>
          <w:sz w:val="18"/>
          <w:szCs w:val="18"/>
          <w:bdr w:val="none" w:sz="0" w:space="0" w:color="auto" w:frame="1"/>
        </w:rPr>
        <w:t> 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Срок  завершения  строительства – 3 квартал  2012ода.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Срок получения  разрешения на  ввод  объекта  в  эксплуатацию -  3 квартал  2012 года.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9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,  Окончание строительства 1 кв 2013 года.Срок получения  разрешения на  ввод  объекта  в  эксплуатацию -  1 квартал  2013года.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11.</w:t>
      </w:r>
      <w:r w:rsidRPr="004A7F29">
        <w:rPr>
          <w:rStyle w:val="apple-converted-space"/>
          <w:rFonts w:ascii="Arial" w:hAnsi="Arial" w:cs="Arial"/>
          <w:color w:val="000000" w:themeColor="text1"/>
          <w:sz w:val="18"/>
          <w:szCs w:val="18"/>
        </w:rPr>
        <w:t> 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Окончание  строительства – 3  кв. 2013 года. Срок получения  разрешения на  ввод  объекта  в  эксплуатацию -  3 квартал  2013года.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Корпус 12.</w:t>
      </w:r>
      <w:r w:rsidRPr="004A7F29">
        <w:rPr>
          <w:rStyle w:val="apple-converted-space"/>
          <w:rFonts w:ascii="Arial" w:hAnsi="Arial" w:cs="Arial"/>
          <w:color w:val="000000" w:themeColor="text1"/>
          <w:sz w:val="18"/>
          <w:szCs w:val="18"/>
        </w:rPr>
        <w:t> </w:t>
      </w:r>
      <w:r w:rsidRPr="004A7F29">
        <w:rPr>
          <w:rFonts w:ascii="Arial" w:hAnsi="Arial" w:cs="Arial"/>
          <w:color w:val="000000" w:themeColor="text1"/>
          <w:sz w:val="18"/>
          <w:szCs w:val="18"/>
        </w:rPr>
        <w:t>Окончание  строительства – 4  кв. 2013 года. Срок получения  разрешения на  ввод  объекта  в  эксплуатацию -  4 квартал  2013года.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2,8 Органы  государственной  власти  участвующие  в  приёмке  дома: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Служба строительного надзора и экспертизы СПБ, Администрация  Пушкинского района Санкт-Петербурга, ГУП «Водоканал», ОАО «Ленэнерго»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Застройщик – ЗАО «Комбинат строительных металлоконструкций»,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Подрядчик  – ООО «Каскад»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Генеральный  проектировщик – ООО «Петропанель»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2.8.Возможные  финансовые  и  прочие  риски при  осуществлении  проекта  строительства: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По  мнению  Застройщика подобные  риски  отсутствуют.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Style w:val="a4"/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2.9.Перечень  организаций, осуществляющих  основные  строительно-монтажные  и  другие  работы: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Подрядчик: ООО «Каскад», Свидетельство о допуске к определенным видам работ или видам работ, которые оказывают влияние на безопасность объектов капитального строительства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Подрядчик  по  наружным инженерным  сетям – ООО «Каскад»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Подрядчик  по  внутренним  инженерным  сетям – ООО «Каскад»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Подрядчик  по  благоустройству –  ООО «Каскад»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Генеральный проектировщик -  ООО «Петропанель»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Генеральный директор</w:t>
      </w:r>
    </w:p>
    <w:p w:rsidR="004A7F29" w:rsidRPr="004A7F29" w:rsidRDefault="004A7F29" w:rsidP="004A7F29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4A7F29">
        <w:rPr>
          <w:rFonts w:ascii="Arial" w:hAnsi="Arial" w:cs="Arial"/>
          <w:color w:val="000000" w:themeColor="text1"/>
          <w:sz w:val="18"/>
          <w:szCs w:val="18"/>
        </w:rPr>
        <w:t>ЗАО «Комбинат строительных металлоизделий»                                Погорельский В.А.</w:t>
      </w:r>
    </w:p>
    <w:p w:rsidR="00733F78" w:rsidRPr="004A7F29" w:rsidRDefault="0088068C">
      <w:pPr>
        <w:rPr>
          <w:color w:val="000000" w:themeColor="text1"/>
        </w:rPr>
      </w:pPr>
    </w:p>
    <w:sectPr w:rsidR="00733F78" w:rsidRPr="004A7F29" w:rsidSect="00CC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8C" w:rsidRDefault="0088068C" w:rsidP="004A7F29">
      <w:pPr>
        <w:spacing w:after="0" w:line="240" w:lineRule="auto"/>
      </w:pPr>
      <w:r>
        <w:separator/>
      </w:r>
    </w:p>
  </w:endnote>
  <w:endnote w:type="continuationSeparator" w:id="1">
    <w:p w:rsidR="0088068C" w:rsidRDefault="0088068C" w:rsidP="004A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8C" w:rsidRDefault="0088068C" w:rsidP="004A7F29">
      <w:pPr>
        <w:spacing w:after="0" w:line="240" w:lineRule="auto"/>
      </w:pPr>
      <w:r>
        <w:separator/>
      </w:r>
    </w:p>
  </w:footnote>
  <w:footnote w:type="continuationSeparator" w:id="1">
    <w:p w:rsidR="0088068C" w:rsidRDefault="0088068C" w:rsidP="004A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F29"/>
    <w:rsid w:val="00261E1F"/>
    <w:rsid w:val="004A7F29"/>
    <w:rsid w:val="0088068C"/>
    <w:rsid w:val="00CC4F0C"/>
    <w:rsid w:val="00F4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F29"/>
    <w:rPr>
      <w:b/>
      <w:bCs/>
    </w:rPr>
  </w:style>
  <w:style w:type="character" w:customStyle="1" w:styleId="apple-converted-space">
    <w:name w:val="apple-converted-space"/>
    <w:basedOn w:val="a0"/>
    <w:rsid w:val="004A7F29"/>
  </w:style>
  <w:style w:type="paragraph" w:styleId="a5">
    <w:name w:val="header"/>
    <w:basedOn w:val="a"/>
    <w:link w:val="a6"/>
    <w:uiPriority w:val="99"/>
    <w:semiHidden/>
    <w:unhideWhenUsed/>
    <w:rsid w:val="004A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F29"/>
  </w:style>
  <w:style w:type="paragraph" w:styleId="a7">
    <w:name w:val="footer"/>
    <w:basedOn w:val="a"/>
    <w:link w:val="a8"/>
    <w:uiPriority w:val="99"/>
    <w:semiHidden/>
    <w:unhideWhenUsed/>
    <w:rsid w:val="004A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7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1763</Words>
  <Characters>10055</Characters>
  <Application>Microsoft Office Word</Application>
  <DocSecurity>0</DocSecurity>
  <Lines>83</Lines>
  <Paragraphs>23</Paragraphs>
  <ScaleCrop>false</ScaleCrop>
  <Company>Microsoft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2013-03-27T22:28:00Z</dcterms:created>
  <dcterms:modified xsi:type="dcterms:W3CDTF">2013-03-27T22:29:00Z</dcterms:modified>
</cp:coreProperties>
</file>