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F" w:rsidRPr="000005AF" w:rsidRDefault="000005AF" w:rsidP="000005AF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B9658"/>
          <w:kern w:val="36"/>
          <w:sz w:val="36"/>
          <w:szCs w:val="36"/>
          <w:lang w:eastAsia="ru-RU"/>
        </w:rPr>
      </w:pPr>
      <w:r w:rsidRPr="000005AF">
        <w:rPr>
          <w:rFonts w:ascii="Arial" w:eastAsia="Times New Roman" w:hAnsi="Arial" w:cs="Arial"/>
          <w:color w:val="FB9658"/>
          <w:kern w:val="36"/>
          <w:sz w:val="36"/>
          <w:szCs w:val="36"/>
          <w:lang w:eastAsia="ru-RU"/>
        </w:rPr>
        <w:t>ПРОЕКТНАЯ ДЕКЛАРАЦИЯ</w:t>
      </w:r>
    </w:p>
    <w:p w:rsidR="000005AF" w:rsidRPr="000005AF" w:rsidRDefault="000005AF" w:rsidP="000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</w:p>
    <w:p w:rsidR="000005AF" w:rsidRPr="000005AF" w:rsidRDefault="000005AF" w:rsidP="000005AF">
      <w:pPr>
        <w:spacing w:after="0" w:line="240" w:lineRule="auto"/>
        <w:jc w:val="both"/>
        <w:rPr>
          <w:rFonts w:ascii="Arial" w:eastAsia="Times New Roman" w:hAnsi="Arial" w:cs="Arial"/>
          <w:color w:val="414042"/>
          <w:sz w:val="18"/>
          <w:szCs w:val="18"/>
          <w:lang w:eastAsia="ru-RU"/>
        </w:rPr>
      </w:pPr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t>по строительству жилого дома со встроенными помещениями</w:t>
      </w:r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  <w:t>по адресу: Санкт-Петербург, г. Пушкин, ул. Новодеревенская, д.3</w:t>
      </w:r>
    </w:p>
    <w:p w:rsidR="000005AF" w:rsidRPr="000005AF" w:rsidRDefault="000005AF" w:rsidP="000005AF">
      <w:pPr>
        <w:spacing w:after="0" w:line="240" w:lineRule="auto"/>
        <w:jc w:val="both"/>
        <w:rPr>
          <w:rFonts w:ascii="Arial" w:eastAsia="Times New Roman" w:hAnsi="Arial" w:cs="Arial"/>
          <w:color w:val="414042"/>
          <w:sz w:val="18"/>
          <w:szCs w:val="18"/>
          <w:lang w:eastAsia="ru-RU"/>
        </w:rPr>
      </w:pPr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t>«10» января 2012 г.</w:t>
      </w:r>
    </w:p>
    <w:p w:rsidR="000005AF" w:rsidRPr="000005AF" w:rsidRDefault="000005AF" w:rsidP="000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AF" w:rsidRPr="000005AF" w:rsidRDefault="000005AF" w:rsidP="000005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042"/>
          <w:lang w:eastAsia="ru-RU"/>
        </w:rPr>
      </w:pPr>
      <w:r w:rsidRPr="000005AF">
        <w:rPr>
          <w:rFonts w:ascii="Arial" w:eastAsia="Times New Roman" w:hAnsi="Arial" w:cs="Arial"/>
          <w:b/>
          <w:bCs/>
          <w:color w:val="414042"/>
          <w:lang w:eastAsia="ru-RU"/>
        </w:rPr>
        <w:t>Информация о Застройщике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2526"/>
        <w:gridCol w:w="7129"/>
      </w:tblGrid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Фирменное наименование и местонахождение Застройщика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Общество с ограниченной ответственностью «Инвестиционный комплекс». Юридический адрес: 198264, Россия, Санкт-Петербург, ул. 2-ая Комсомольская, д. 35, лит. Б, пом. 8-Н Фактический адрес: Россия, Санкт-Петербург, наб. Канала Грибоедова, д. 5, оф. 419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Режим работы Застройщика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ПН-ВТ с 09:00 до 17:30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ПТ с 09:00 до 16:30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Данные о государственной регистрации Застройщика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Общество с ограниченной ответственностью «Инвестиционный комплекс» зарегистрировано Межрайонной инспекцией Федеральной налоговой службы № 15 по Санкт-Петербургу 17.01.2011 года за основным государственным регистрационным номером (ОГРН) 1117847008201, Свидетельство о государственной регистрации юридического лица серии 78 № 008144348, выданное Межрайонной инспекцией Федеральной налоговой службы № 15 по Санкт-Петербургу 17.01.2011 года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Данные о постановке на учет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Общество с ограниченной ответственностью «Инвестиционный комплекс» поставлено на учет в Межрайонной инспекции Федеральной налоговой службы № 22 по Санкт-Петербургу. Свидетельство о постановке на учет в налоговом органе выдано «17» января 2011 г., серия 78 № 008144349, ИНН 7807357234, КПП 780701001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Данные об учредителях Застройщика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Физические лица 100%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Лицензия (номер, срок действия, орган, выдавший лицензию)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Функции Заказчика переданы ЗАО «Санкт-Петербургская инвестиционная строительная компания» по договору № 6/11 ТН от «10» ноября 2011 г. (Свидетельство № 149.4-2010-7826706025-С-157 от «09» августа 2011 г.)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Величина собственных денежных средств, размер кредиторской задолженности на день публикации проектной декларации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Величина собственных денежных средств – 55 000 000 рублей. Кредиторская задолженность отсутствует.</w:t>
            </w:r>
          </w:p>
        </w:tc>
      </w:tr>
    </w:tbl>
    <w:p w:rsidR="000005AF" w:rsidRPr="000005AF" w:rsidRDefault="000005AF" w:rsidP="000005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042"/>
          <w:lang w:eastAsia="ru-RU"/>
        </w:rPr>
      </w:pPr>
      <w:r w:rsidRPr="000005AF">
        <w:rPr>
          <w:rFonts w:ascii="Arial" w:eastAsia="Times New Roman" w:hAnsi="Arial" w:cs="Arial"/>
          <w:b/>
          <w:bCs/>
          <w:color w:val="414042"/>
          <w:lang w:eastAsia="ru-RU"/>
        </w:rPr>
        <w:t>Информация о проекте строительства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2526"/>
        <w:gridCol w:w="7129"/>
      </w:tblGrid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Цель строительства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Строительство жилого дома со встроенными помещениями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Этапы и срок реализации строительства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Начало работ по организации строительства: I квартал 2012 г. Окончание строительства: IV квартал 2012 г.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Разрешение на строительство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Разрешение на строительство № 78 – 16014420 – 2011 от «30» декабря 2011 г. выдано Службой государственного строительного надзора и экспертизы Санкт-Петербурга.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Права Застройщика на земельный участок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Кадастровый номер: 78:42:18109Б:1 Разрешенное использование: для размещения жилого дома (жилых домов), площадь 1983 кв.м. Собственник участка: ООО «Инвестиционный комплекс» Свидетельство о государственной регистрации серии 78 – АЖ 386308, выданное Управлением Федеральной службы государственной регистрации, кадастра и картографии по Санкт-Петербургу от «06» декабря 2011 г., запись о государственной регистрации №78-78-06/033/2011-109</w:t>
            </w:r>
          </w:p>
        </w:tc>
      </w:tr>
    </w:tbl>
    <w:p w:rsidR="000005AF" w:rsidRPr="000005AF" w:rsidRDefault="000005AF" w:rsidP="000005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042"/>
          <w:lang w:eastAsia="ru-RU"/>
        </w:rPr>
      </w:pPr>
      <w:r w:rsidRPr="000005AF">
        <w:rPr>
          <w:rFonts w:ascii="Arial" w:eastAsia="Times New Roman" w:hAnsi="Arial" w:cs="Arial"/>
          <w:b/>
          <w:bCs/>
          <w:color w:val="414042"/>
          <w:lang w:eastAsia="ru-RU"/>
        </w:rPr>
        <w:t>Описание строящегося объекта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2526"/>
        <w:gridCol w:w="7129"/>
      </w:tblGrid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Местоположение строящегося жилого дома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Санкт-Петербург, город Пушкин, Новодеревенская улица, дом 3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Благоустройство и озеленение участка в пределах отведенной территории будет осуществлено соответствии с проектом с выполнением следующих работ: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lang w:eastAsia="ru-RU"/>
              </w:rPr>
              <w:t> 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lastRenderedPageBreak/>
              <w:t>- устройство газонов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- высадка зеленых насаждений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- устройство детской площадки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- устройство зоны отдыха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- устройство спортплощадки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- устройство автостоянки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- асфальтирование дорог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lastRenderedPageBreak/>
              <w:t>Количество самостоятельных частей в составе строящегося объекта: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Количество квартир всего 15 шт., в т.ч.: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Однокомнатных - 6 шт.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Двухкомнатных - 6 шт.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Трехкомнатных - 3 шт.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Предусмотрена наземная автостоянка на 13 машиномест.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Техническая характеристика объекта и его самостоятельных частей: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 xml:space="preserve">Количество этажей - 3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Высота жилого этажа - 2,9 м.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Площадь застройки - 417, 36 кв.м.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Жилая площадь квартир - 535,82 кв.м.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Общая площадь квартир - 991,07 кв.м.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Общая площадь жилого дома - 1498,1 кв.м.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Площадь встроенных помещений - 237,23 кв.м.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Строительный объем - 4776,35 куб.м.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Фундамент - монолитный ж/б, толщина – 500 мм.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Наружные стены - бетонные, толщина 300 мм., утепленные минераловатными плитами EURO, фасад толщиной 100 мм с защитно-декоративной штукатуркой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Внутренние стены - монолитный ж/б, толщина 160 мм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Перекрытия - монолитный ж/б, толщина 160 мм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Лестницы - монолитные ж/б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Перегородки - кирпичные; из блоков ячеистого бетона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Кровля - плоская совмещенная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 xml:space="preserve">Степень огнестойкости здания - 1 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Наружные инженерные сети выполнены согласно техническим условиям на присоединение эксплуатационных служб.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Функциональное назначение нежилых помещений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Помещения пункта приема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Состав общего имущества в объекте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Санкт-Внутренние инженерные коммуникации, лестничные площадки, лестничные марши, технологические помещения в подвале, венткамеры.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Предполагаемый срок получения разрешения на ввод объекта в эксплуатацию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IV квартал 2012 г.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Перечень органов государственной власти, организаций, представители, которых участвуют в приемке объекта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Застройщик: ООО «Инвестиционный комплекс»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Заказчик: ЗАО «Санкт-Петербургская инвестиционная строительная компания»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Генподрядчик: ООО «Гранит»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Генеральный проектировщик: ПК «Фирма ПРОЕКТ»</w:t>
            </w: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br/>
              <w:t>Служба государственного строительного надзора и экспертизы Санкт-Петербурга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Возможные финансовые и прочие риски при осуществлении проекта строительства, осуществление мер по добровольному страхованию Застройщиком данных рисков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По мнению Застройщика, подобные риски отсутствуют. Страхование на момент публикации проектной декларации не осуществляется.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Планируемая стоимость строительства объекта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Ориентировочная (планируемая) стоимость объекта составляет 115 800 000 (сто пятнадцать миллионов восемьсот тысяч) рублей.</w:t>
            </w:r>
          </w:p>
        </w:tc>
      </w:tr>
      <w:tr w:rsidR="000005AF" w:rsidRPr="000005AF" w:rsidTr="000005AF">
        <w:trPr>
          <w:tblCellSpacing w:w="7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Организации, осуществляющие основные строительно-монтажные работы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5AF" w:rsidRPr="000005AF" w:rsidRDefault="000005AF" w:rsidP="000005AF">
            <w:pPr>
              <w:spacing w:after="0" w:line="240" w:lineRule="auto"/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</w:pPr>
            <w:r w:rsidRPr="000005AF">
              <w:rPr>
                <w:rFonts w:ascii="Arial" w:eastAsia="Times New Roman" w:hAnsi="Arial" w:cs="Arial"/>
                <w:color w:val="414042"/>
                <w:sz w:val="18"/>
                <w:szCs w:val="18"/>
                <w:lang w:eastAsia="ru-RU"/>
              </w:rPr>
              <w:t>Общество с ограниченной ответственностью «Гранит»</w:t>
            </w:r>
          </w:p>
        </w:tc>
      </w:tr>
    </w:tbl>
    <w:p w:rsidR="000005AF" w:rsidRPr="000005AF" w:rsidRDefault="000005AF" w:rsidP="000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AF" w:rsidRPr="000005AF" w:rsidRDefault="000005AF" w:rsidP="000005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042"/>
          <w:lang w:eastAsia="ru-RU"/>
        </w:rPr>
      </w:pPr>
      <w:r w:rsidRPr="000005AF">
        <w:rPr>
          <w:rFonts w:ascii="Arial" w:eastAsia="Times New Roman" w:hAnsi="Arial" w:cs="Arial"/>
          <w:b/>
          <w:bCs/>
          <w:color w:val="414042"/>
          <w:lang w:eastAsia="ru-RU"/>
        </w:rPr>
        <w:lastRenderedPageBreak/>
        <w:t>Генеральный директор ООО «Инвестиционный комплекс»</w:t>
      </w:r>
      <w:r w:rsidRPr="000005AF">
        <w:rPr>
          <w:rFonts w:ascii="Arial" w:eastAsia="Times New Roman" w:hAnsi="Arial" w:cs="Arial"/>
          <w:b/>
          <w:bCs/>
          <w:color w:val="414042"/>
          <w:lang w:eastAsia="ru-RU"/>
        </w:rPr>
        <w:br/>
        <w:t>________________ А.А. Ловягин</w:t>
      </w:r>
    </w:p>
    <w:p w:rsidR="000005AF" w:rsidRPr="000005AF" w:rsidRDefault="000005AF" w:rsidP="0000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</w:p>
    <w:p w:rsidR="000005AF" w:rsidRPr="000005AF" w:rsidRDefault="000005AF" w:rsidP="000005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042"/>
          <w:lang w:eastAsia="ru-RU"/>
        </w:rPr>
      </w:pPr>
      <w:r w:rsidRPr="000005AF">
        <w:rPr>
          <w:rFonts w:ascii="Arial" w:eastAsia="Times New Roman" w:hAnsi="Arial" w:cs="Arial"/>
          <w:b/>
          <w:bCs/>
          <w:color w:val="414042"/>
          <w:lang w:eastAsia="ru-RU"/>
        </w:rPr>
        <w:t>Изменение проектной декларации от 26.07.2012г.</w:t>
      </w:r>
    </w:p>
    <w:p w:rsidR="006A06DB" w:rsidRDefault="000005AF" w:rsidP="000005AF"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  <w:hyperlink r:id="rId4" w:tgtFrame="_blank" w:history="1">
        <w:r w:rsidRPr="000005AF">
          <w:rPr>
            <w:rFonts w:ascii="Arial" w:eastAsia="Times New Roman" w:hAnsi="Arial" w:cs="Arial"/>
            <w:b/>
            <w:bCs/>
            <w:color w:val="727D84"/>
            <w:lang w:eastAsia="ru-RU"/>
          </w:rPr>
          <w:t>Сальдо Дебиторская задолженность за 1 Квартал 2012 г.</w:t>
        </w:r>
      </w:hyperlink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  <w:hyperlink r:id="rId5" w:tgtFrame="_blank" w:history="1">
        <w:r w:rsidRPr="000005AF">
          <w:rPr>
            <w:rFonts w:ascii="Arial" w:eastAsia="Times New Roman" w:hAnsi="Arial" w:cs="Arial"/>
            <w:b/>
            <w:bCs/>
            <w:color w:val="727D84"/>
            <w:lang w:eastAsia="ru-RU"/>
          </w:rPr>
          <w:t>Сальдо Кредиторская задолженность за 1 Квартал 2012 г.</w:t>
        </w:r>
      </w:hyperlink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  <w:hyperlink r:id="rId6" w:tgtFrame="_blank" w:history="1">
        <w:r w:rsidRPr="000005AF">
          <w:rPr>
            <w:rFonts w:ascii="Arial" w:eastAsia="Times New Roman" w:hAnsi="Arial" w:cs="Arial"/>
            <w:b/>
            <w:bCs/>
            <w:color w:val="727D84"/>
            <w:lang w:eastAsia="ru-RU"/>
          </w:rPr>
          <w:t>2 Квартал 2012 г.</w:t>
        </w:r>
      </w:hyperlink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  <w:hyperlink r:id="rId7" w:tgtFrame="_blank" w:history="1">
        <w:r w:rsidRPr="000005AF">
          <w:rPr>
            <w:rFonts w:ascii="Arial" w:eastAsia="Times New Roman" w:hAnsi="Arial" w:cs="Arial"/>
            <w:b/>
            <w:bCs/>
            <w:color w:val="727D84"/>
            <w:lang w:eastAsia="ru-RU"/>
          </w:rPr>
          <w:t>3 Квартал 2012 г.</w:t>
        </w:r>
      </w:hyperlink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  <w:r w:rsidRPr="000005AF">
        <w:rPr>
          <w:rFonts w:ascii="Arial" w:eastAsia="Times New Roman" w:hAnsi="Arial" w:cs="Arial"/>
          <w:color w:val="414042"/>
          <w:sz w:val="18"/>
          <w:szCs w:val="18"/>
          <w:lang w:eastAsia="ru-RU"/>
        </w:rPr>
        <w:br/>
      </w:r>
      <w:hyperlink r:id="rId8" w:tgtFrame="_blank" w:history="1">
        <w:r w:rsidRPr="000005AF">
          <w:rPr>
            <w:rFonts w:ascii="Arial" w:eastAsia="Times New Roman" w:hAnsi="Arial" w:cs="Arial"/>
            <w:b/>
            <w:bCs/>
            <w:color w:val="727D84"/>
            <w:lang w:eastAsia="ru-RU"/>
          </w:rPr>
          <w:t>4 Квартал 2012 г.</w:t>
        </w:r>
      </w:hyperlink>
    </w:p>
    <w:sectPr w:rsidR="006A06DB" w:rsidSect="00CA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005AF"/>
    <w:rsid w:val="000005AF"/>
    <w:rsid w:val="005422A8"/>
    <w:rsid w:val="0080212F"/>
    <w:rsid w:val="0098125D"/>
    <w:rsid w:val="00BC0D5A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5422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A8"/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a3">
    <w:name w:val="Normal (Web)"/>
    <w:basedOn w:val="a"/>
    <w:uiPriority w:val="99"/>
    <w:semiHidden/>
    <w:unhideWhenUsed/>
    <w:rsid w:val="0000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5AF"/>
  </w:style>
  <w:style w:type="character" w:styleId="a4">
    <w:name w:val="Hyperlink"/>
    <w:basedOn w:val="a0"/>
    <w:uiPriority w:val="99"/>
    <w:semiHidden/>
    <w:unhideWhenUsed/>
    <w:rsid w:val="00000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kpushkin.ru/images/DebKred42012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gkpushkin.ru/images/DebKred32012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gkpushkin.ru/images/DebKred22012.xls" TargetMode="External"/><Relationship Id="rId5" Type="http://schemas.openxmlformats.org/officeDocument/2006/relationships/hyperlink" Target="http://mgkpushkin.ru/images/Kred12012.x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gkpushkin.ru/images/Deb12012.x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2013-03-30T16:57:00Z</dcterms:created>
  <dcterms:modified xsi:type="dcterms:W3CDTF">2013-03-30T16:58:00Z</dcterms:modified>
</cp:coreProperties>
</file>